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5C" w:rsidRPr="0030331D" w:rsidRDefault="00EA1E5C" w:rsidP="00EA1E5C">
      <w:pPr>
        <w:tabs>
          <w:tab w:val="left" w:pos="6015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  <w:lang w:eastAsia="ru-RU"/>
        </w:rPr>
        <w:t xml:space="preserve">                                                                </w:t>
      </w:r>
      <w:r w:rsidRPr="0030331D"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  <w:lang w:eastAsia="ru-RU"/>
        </w:rPr>
        <w:t xml:space="preserve">        </w:t>
      </w:r>
      <w:r w:rsidRPr="0030331D">
        <w:rPr>
          <w:rFonts w:ascii="Times New Roman" w:eastAsia="Times New Roman" w:hAnsi="Times New Roman" w:cs="Times New Roman"/>
          <w:noProof/>
          <w:color w:val="7B7B7B" w:themeColor="accent3" w:themeShade="BF"/>
          <w:sz w:val="20"/>
          <w:szCs w:val="20"/>
          <w:lang w:eastAsia="ru-RU"/>
        </w:rPr>
        <w:drawing>
          <wp:inline distT="0" distB="0" distL="0" distR="0" wp14:anchorId="7582656A" wp14:editId="267987F3">
            <wp:extent cx="819150" cy="1133475"/>
            <wp:effectExtent l="0" t="0" r="0" b="9525"/>
            <wp:docPr id="2" name="Рисунок 1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1E5C" w:rsidRPr="0030331D" w:rsidRDefault="00EA1E5C" w:rsidP="00EA1E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B7B7B" w:themeColor="accent3" w:themeShade="BF"/>
          <w:sz w:val="6"/>
          <w:szCs w:val="20"/>
          <w:lang w:eastAsia="ru-RU"/>
        </w:rPr>
      </w:pPr>
    </w:p>
    <w:p w:rsidR="00EA1E5C" w:rsidRPr="0030331D" w:rsidRDefault="00EA1E5C" w:rsidP="00EA1E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B7B7B" w:themeColor="accent3" w:themeShade="BF"/>
          <w:sz w:val="6"/>
          <w:szCs w:val="20"/>
          <w:lang w:eastAsia="ru-RU"/>
        </w:rPr>
      </w:pPr>
    </w:p>
    <w:p w:rsidR="00EA1E5C" w:rsidRPr="0030331D" w:rsidRDefault="00EA1E5C" w:rsidP="00EA1E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33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Контрольно-счетная комиссия</w:t>
      </w:r>
    </w:p>
    <w:p w:rsidR="00EA1E5C" w:rsidRPr="0030331D" w:rsidRDefault="00EA1E5C" w:rsidP="00EA1E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33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городского округа город Михайловка</w:t>
      </w:r>
    </w:p>
    <w:p w:rsidR="00EA1E5C" w:rsidRDefault="00EA1E5C" w:rsidP="00EA1E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Волгоградской области</w:t>
      </w:r>
    </w:p>
    <w:p w:rsidR="00EA1E5C" w:rsidRPr="0030331D" w:rsidRDefault="00EA1E5C" w:rsidP="00EA1E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A1E5C" w:rsidRPr="0030331D" w:rsidRDefault="00EA1E5C" w:rsidP="00EA1E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33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ЭКСПЕРТНОЕ ЗАКЛЮЧЕНИЕ</w:t>
      </w:r>
    </w:p>
    <w:p w:rsidR="00EA1E5C" w:rsidRPr="0030331D" w:rsidRDefault="00EA1E5C" w:rsidP="00EA1E5C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7B7B7B" w:themeColor="accent3" w:themeShade="BF"/>
          <w:sz w:val="16"/>
          <w:szCs w:val="16"/>
          <w:lang w:eastAsia="ru-RU"/>
        </w:rPr>
      </w:pPr>
    </w:p>
    <w:p w:rsidR="00EA1E5C" w:rsidRPr="00EA1E5C" w:rsidRDefault="00EA1E5C" w:rsidP="00EA1E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1E5C">
        <w:rPr>
          <w:rFonts w:ascii="Times New Roman" w:eastAsia="Times New Roman" w:hAnsi="Times New Roman" w:cs="Times New Roman"/>
          <w:sz w:val="24"/>
          <w:szCs w:val="20"/>
          <w:lang w:eastAsia="ru-RU"/>
        </w:rPr>
        <w:t>№ 18 - 09/10/2020 г.</w:t>
      </w:r>
    </w:p>
    <w:p w:rsidR="00EA1E5C" w:rsidRPr="0030331D" w:rsidRDefault="00EA1E5C" w:rsidP="00EA1E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7B7B7B" w:themeColor="accent3" w:themeShade="BF"/>
          <w:sz w:val="24"/>
          <w:szCs w:val="20"/>
          <w:lang w:eastAsia="ru-RU"/>
        </w:rPr>
      </w:pPr>
    </w:p>
    <w:p w:rsidR="00EA1E5C" w:rsidRPr="00285491" w:rsidRDefault="00E71B33" w:rsidP="00EA1E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</w:t>
      </w:r>
      <w:r w:rsidR="00642F84" w:rsidRPr="0028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плановых расходов </w:t>
      </w:r>
      <w:r w:rsidRPr="0028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</w:t>
      </w:r>
      <w:r w:rsidR="00642F84" w:rsidRPr="0028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город Михайловка Волгоградской области за 2020 год</w:t>
      </w:r>
    </w:p>
    <w:p w:rsidR="00E71B33" w:rsidRDefault="00E71B33" w:rsidP="00EA1E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85491" w:rsidRPr="00285491" w:rsidRDefault="00285491" w:rsidP="002F72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КСК </w:t>
      </w:r>
      <w:proofErr w:type="spellStart"/>
      <w:r w:rsidRPr="00285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Антонцева</w:t>
      </w:r>
      <w:proofErr w:type="spellEnd"/>
      <w:r w:rsidRPr="002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У.С., консультант КСК Петрова Ю.П. провели </w:t>
      </w:r>
      <w:r w:rsidR="00B33D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5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плановых расходов  бюджета городского округа город Михайловка Волгоградской области за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966" w:rsidRPr="002F729D" w:rsidRDefault="009D1839" w:rsidP="002F7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839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D1839">
        <w:rPr>
          <w:rFonts w:ascii="Times New Roman" w:hAnsi="Times New Roman" w:cs="Times New Roman"/>
          <w:sz w:val="24"/>
          <w:szCs w:val="24"/>
        </w:rPr>
        <w:t xml:space="preserve">представляют собой денежные средства, которые направлены на финансовое обеспечение задач и функций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Pr="009D1839">
        <w:rPr>
          <w:rFonts w:ascii="Times New Roman" w:hAnsi="Times New Roman" w:cs="Times New Roman"/>
          <w:sz w:val="24"/>
          <w:szCs w:val="24"/>
        </w:rPr>
        <w:t>. Формирование и использование расходной части бюджета является острой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839">
        <w:rPr>
          <w:rFonts w:ascii="Times New Roman" w:hAnsi="Times New Roman" w:cs="Times New Roman"/>
          <w:sz w:val="24"/>
          <w:szCs w:val="24"/>
        </w:rPr>
        <w:t>проблемой для любого муниципального образования, так как при р</w:t>
      </w:r>
      <w:r w:rsidR="00D328D6">
        <w:rPr>
          <w:rFonts w:ascii="Times New Roman" w:hAnsi="Times New Roman" w:cs="Times New Roman"/>
          <w:sz w:val="24"/>
          <w:szCs w:val="24"/>
        </w:rPr>
        <w:t>аспределении бюджетных сре</w:t>
      </w:r>
      <w:proofErr w:type="gramStart"/>
      <w:r w:rsidR="00D328D6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9D183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D1839">
        <w:rPr>
          <w:rFonts w:ascii="Times New Roman" w:hAnsi="Times New Roman" w:cs="Times New Roman"/>
          <w:sz w:val="24"/>
          <w:szCs w:val="24"/>
        </w:rPr>
        <w:t>оисходит процесс «перетягивания кана</w:t>
      </w:r>
      <w:r w:rsidR="00D328D6">
        <w:rPr>
          <w:rFonts w:ascii="Times New Roman" w:hAnsi="Times New Roman" w:cs="Times New Roman"/>
          <w:sz w:val="24"/>
          <w:szCs w:val="24"/>
        </w:rPr>
        <w:t xml:space="preserve">та» на финансирование различных </w:t>
      </w:r>
      <w:r w:rsidRPr="009D1839">
        <w:rPr>
          <w:rFonts w:ascii="Times New Roman" w:hAnsi="Times New Roman" w:cs="Times New Roman"/>
          <w:sz w:val="24"/>
          <w:szCs w:val="24"/>
        </w:rPr>
        <w:t xml:space="preserve">отраслей: социальной политики, образования, здравоохранения, ЖКХ, культуры, спорта и других. </w:t>
      </w:r>
      <w:r w:rsidR="00B912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3CF7" w:rsidRDefault="007D4966" w:rsidP="002F72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Расходы бюдже</w:t>
      </w:r>
      <w:r w:rsidR="009C7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 </w:t>
      </w:r>
      <w:r w:rsidR="00963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C7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</w:t>
      </w:r>
      <w:r w:rsidR="00963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ованы в соответствии с ожидаемыми доходами текущего года. </w:t>
      </w:r>
    </w:p>
    <w:p w:rsidR="00F073D6" w:rsidRDefault="004B0CF6" w:rsidP="002F7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основном, п</w:t>
      </w:r>
      <w:r w:rsidRPr="002766EE">
        <w:rPr>
          <w:rFonts w:ascii="Times New Roman" w:hAnsi="Times New Roman" w:cs="Times New Roman"/>
          <w:sz w:val="24"/>
          <w:szCs w:val="24"/>
        </w:rPr>
        <w:t>ри составлении расходной части бюджета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6EE">
        <w:rPr>
          <w:rFonts w:ascii="Times New Roman" w:hAnsi="Times New Roman" w:cs="Times New Roman"/>
          <w:sz w:val="24"/>
          <w:szCs w:val="24"/>
        </w:rPr>
        <w:t>используется программно-целевой метод планирования бюджетных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Pr="0027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7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ержденными целевыми программами,</w:t>
      </w:r>
      <w:r w:rsidRPr="00E7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составляемыми для осуществления 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ономических и социальных задач</w:t>
      </w:r>
      <w:r w:rsidRPr="0027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4B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метод способствует соблюдению единого подхода к формированию и рациональному распределению фондов финансовых ресурсов по конкре</w:t>
      </w:r>
      <w:r w:rsidRPr="0027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тным программам и проектам, их </w:t>
      </w:r>
      <w:r w:rsidRPr="00E74B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целевому исполь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зованию, улучшению контроля, все</w:t>
      </w:r>
      <w:r w:rsidRPr="00E7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повышает уровень эффективности освоения средств.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B0CF6" w:rsidRPr="004B0CF6" w:rsidRDefault="004B0CF6" w:rsidP="002F7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Планирование бюджета осуществлялось в режиме экономии, н</w:t>
      </w:r>
      <w:r w:rsidRPr="002876CC">
        <w:rPr>
          <w:rFonts w:ascii="Times New Roman" w:hAnsi="Times New Roman"/>
          <w:sz w:val="24"/>
          <w:szCs w:val="24"/>
        </w:rPr>
        <w:t>а всех уровнях действовала и продол</w:t>
      </w:r>
      <w:r>
        <w:rPr>
          <w:rFonts w:ascii="Times New Roman" w:hAnsi="Times New Roman"/>
          <w:sz w:val="24"/>
          <w:szCs w:val="24"/>
        </w:rPr>
        <w:t xml:space="preserve">жает действовать в текущем году </w:t>
      </w:r>
      <w:r w:rsidRPr="002876CC">
        <w:rPr>
          <w:rFonts w:ascii="Times New Roman" w:hAnsi="Times New Roman"/>
          <w:sz w:val="24"/>
          <w:szCs w:val="24"/>
        </w:rPr>
        <w:t>система организационных мер, направленн</w:t>
      </w:r>
      <w:r>
        <w:rPr>
          <w:rFonts w:ascii="Times New Roman" w:hAnsi="Times New Roman"/>
          <w:sz w:val="24"/>
          <w:szCs w:val="24"/>
        </w:rPr>
        <w:t xml:space="preserve">ых на сдерживание расходов: </w:t>
      </w:r>
      <w:r w:rsidRPr="002876CC">
        <w:rPr>
          <w:rFonts w:ascii="Times New Roman" w:hAnsi="Times New Roman"/>
          <w:sz w:val="24"/>
          <w:szCs w:val="24"/>
        </w:rPr>
        <w:t>ограничения по доведению</w:t>
      </w:r>
      <w:r w:rsidR="0023642E">
        <w:rPr>
          <w:rFonts w:ascii="Times New Roman" w:hAnsi="Times New Roman"/>
          <w:sz w:val="24"/>
          <w:szCs w:val="24"/>
        </w:rPr>
        <w:t xml:space="preserve"> лимитов бюджетных обязательств. </w:t>
      </w:r>
      <w:r w:rsidRPr="002876CC">
        <w:rPr>
          <w:rFonts w:ascii="Times New Roman" w:hAnsi="Times New Roman"/>
          <w:sz w:val="24"/>
          <w:szCs w:val="24"/>
        </w:rPr>
        <w:t xml:space="preserve"> </w:t>
      </w:r>
    </w:p>
    <w:p w:rsidR="00FD12D8" w:rsidRDefault="00D22FE3" w:rsidP="002F72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</w:t>
      </w:r>
      <w:r w:rsidR="00B9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запланированы в сумме</w:t>
      </w:r>
      <w:r w:rsidR="0084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1577</w:t>
      </w:r>
      <w:r w:rsidR="00846AD0" w:rsidRPr="00846AD0">
        <w:rPr>
          <w:rFonts w:ascii="Times New Roman" w:eastAsia="Times New Roman" w:hAnsi="Times New Roman" w:cs="Times New Roman"/>
          <w:sz w:val="24"/>
          <w:szCs w:val="24"/>
          <w:lang w:eastAsia="ru-RU"/>
        </w:rPr>
        <w:t>535,9 тыс. рублей</w:t>
      </w:r>
      <w:r w:rsidR="00787A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безвозмездных поступлений от других бюджетов бюджетной системы Российской Федерации  в сумме </w:t>
      </w:r>
      <w:r w:rsidR="007D4966">
        <w:rPr>
          <w:rFonts w:ascii="Times New Roman" w:hAnsi="Times New Roman"/>
          <w:sz w:val="24"/>
          <w:szCs w:val="24"/>
        </w:rPr>
        <w:t>830</w:t>
      </w:r>
      <w:r w:rsidR="007D4966" w:rsidRPr="007A1099">
        <w:rPr>
          <w:rFonts w:ascii="Times New Roman" w:hAnsi="Times New Roman"/>
          <w:sz w:val="24"/>
          <w:szCs w:val="24"/>
        </w:rPr>
        <w:t>827,5 тыс. рублей</w:t>
      </w:r>
      <w:r w:rsidR="007D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исполнение передаваемых полномочий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</w:t>
      </w:r>
      <w:r w:rsidR="00787AC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расходов</w:t>
      </w:r>
      <w:r w:rsidR="00AB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B7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r w:rsidR="00AB700E" w:rsidRPr="00287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елевые средства (субсидии, субвенции</w:t>
      </w:r>
      <w:r w:rsidR="00AB7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дотации</w:t>
      </w:r>
      <w:r w:rsidR="00AB700E" w:rsidRPr="00287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направляются на определенные </w:t>
      </w:r>
      <w:r w:rsidR="00AB700E" w:rsidRPr="007D4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разделы.</w:t>
      </w:r>
    </w:p>
    <w:p w:rsidR="00D05A32" w:rsidRDefault="00AB700E" w:rsidP="002F729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7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Собственные </w:t>
      </w:r>
      <w:r w:rsidRPr="00AB700E">
        <w:rPr>
          <w:rFonts w:ascii="Times New Roman" w:hAnsi="Times New Roman"/>
          <w:sz w:val="24"/>
          <w:szCs w:val="24"/>
        </w:rPr>
        <w:t xml:space="preserve">расходы бюджета городского округа </w:t>
      </w:r>
      <w:r>
        <w:rPr>
          <w:rFonts w:ascii="Times New Roman" w:hAnsi="Times New Roman"/>
          <w:sz w:val="24"/>
          <w:szCs w:val="24"/>
        </w:rPr>
        <w:t xml:space="preserve">на 2020 год </w:t>
      </w:r>
      <w:r w:rsidRPr="00AB700E">
        <w:rPr>
          <w:rFonts w:ascii="Times New Roman" w:hAnsi="Times New Roman"/>
          <w:sz w:val="24"/>
          <w:szCs w:val="24"/>
        </w:rPr>
        <w:t>запланированы в сумме 746708,4 тыс.</w:t>
      </w:r>
      <w:r w:rsidR="006628EA">
        <w:rPr>
          <w:rFonts w:ascii="Times New Roman" w:hAnsi="Times New Roman"/>
          <w:sz w:val="24"/>
          <w:szCs w:val="24"/>
        </w:rPr>
        <w:t xml:space="preserve"> </w:t>
      </w:r>
      <w:r w:rsidRPr="00AB700E">
        <w:rPr>
          <w:rFonts w:ascii="Times New Roman" w:hAnsi="Times New Roman"/>
          <w:sz w:val="24"/>
          <w:szCs w:val="24"/>
        </w:rPr>
        <w:t>рублей</w:t>
      </w:r>
      <w:r w:rsidR="004B0CF6" w:rsidRPr="00FD12D8">
        <w:rPr>
          <w:rFonts w:ascii="Times New Roman" w:hAnsi="Times New Roman" w:cs="Times New Roman"/>
          <w:sz w:val="24"/>
          <w:szCs w:val="24"/>
        </w:rPr>
        <w:t>.</w:t>
      </w:r>
      <w:r w:rsidR="00FD12D8" w:rsidRPr="00FD1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Расходование </w:t>
      </w:r>
      <w:r w:rsidR="00434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денежных </w:t>
      </w:r>
      <w:r w:rsidR="00FD12D8" w:rsidRPr="00FD1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</w:t>
      </w:r>
      <w:proofErr w:type="gramStart"/>
      <w:r w:rsidR="00FD12D8" w:rsidRPr="00FD1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</w:t>
      </w:r>
      <w:r w:rsidR="00434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</w:t>
      </w:r>
      <w:proofErr w:type="gramEnd"/>
      <w:r w:rsidR="00434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анируется</w:t>
      </w:r>
      <w:r w:rsidR="00184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D12D8" w:rsidRPr="00FD1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первую очеред</w:t>
      </w:r>
      <w:r w:rsidR="00FD1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184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D1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приоритетным направлениям. </w:t>
      </w:r>
      <w:r w:rsidR="00FD12D8" w:rsidRPr="00FD1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Наглядно структура собственных расходов бюджета представлена на диаграмме, рис.1.</w:t>
      </w:r>
    </w:p>
    <w:p w:rsidR="00EA28CA" w:rsidRDefault="00EA28CA" w:rsidP="002F729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5A32" w:rsidRDefault="0024623D" w:rsidP="002F729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5FCCB42" wp14:editId="0E0E7CD2">
            <wp:extent cx="4977517" cy="2941982"/>
            <wp:effectExtent l="0" t="0" r="13970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28CA" w:rsidRDefault="00EA28CA" w:rsidP="002F7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CBE" w:rsidRDefault="007579EF" w:rsidP="002F7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05A32" w:rsidRPr="00D05A32">
        <w:rPr>
          <w:rFonts w:ascii="Times New Roman" w:hAnsi="Times New Roman" w:cs="Times New Roman"/>
          <w:sz w:val="24"/>
          <w:szCs w:val="24"/>
        </w:rPr>
        <w:t xml:space="preserve">асходы </w:t>
      </w:r>
      <w:r>
        <w:rPr>
          <w:rFonts w:ascii="Times New Roman" w:hAnsi="Times New Roman" w:cs="Times New Roman"/>
          <w:sz w:val="24"/>
          <w:szCs w:val="24"/>
        </w:rPr>
        <w:t xml:space="preserve">за счет собственных денежных средств </w:t>
      </w:r>
      <w:r w:rsidR="00D05A32" w:rsidRPr="00D05A32">
        <w:rPr>
          <w:rFonts w:ascii="Times New Roman" w:hAnsi="Times New Roman" w:cs="Times New Roman"/>
          <w:sz w:val="24"/>
          <w:szCs w:val="24"/>
        </w:rPr>
        <w:t>бюджета характеризуются со</w:t>
      </w:r>
      <w:r w:rsidR="00EA28CA">
        <w:rPr>
          <w:rFonts w:ascii="Times New Roman" w:hAnsi="Times New Roman" w:cs="Times New Roman"/>
          <w:sz w:val="24"/>
          <w:szCs w:val="24"/>
        </w:rPr>
        <w:t>циальной направленностью (рис.</w:t>
      </w:r>
      <w:r w:rsidR="00D05A32">
        <w:rPr>
          <w:rFonts w:ascii="Times New Roman" w:hAnsi="Times New Roman" w:cs="Times New Roman"/>
          <w:sz w:val="24"/>
          <w:szCs w:val="24"/>
        </w:rPr>
        <w:t>1</w:t>
      </w:r>
      <w:r w:rsidR="00D05A32" w:rsidRPr="00D05A32">
        <w:rPr>
          <w:rFonts w:ascii="Times New Roman" w:hAnsi="Times New Roman" w:cs="Times New Roman"/>
          <w:sz w:val="24"/>
          <w:szCs w:val="24"/>
        </w:rPr>
        <w:t>). Осн</w:t>
      </w:r>
      <w:r w:rsidR="00D05A32">
        <w:rPr>
          <w:rFonts w:ascii="Times New Roman" w:hAnsi="Times New Roman" w:cs="Times New Roman"/>
          <w:sz w:val="24"/>
          <w:szCs w:val="24"/>
        </w:rPr>
        <w:t xml:space="preserve">овную долю в расходах бюджета составляют </w:t>
      </w:r>
      <w:r>
        <w:rPr>
          <w:rFonts w:ascii="Times New Roman" w:hAnsi="Times New Roman" w:cs="Times New Roman"/>
          <w:sz w:val="24"/>
          <w:szCs w:val="24"/>
        </w:rPr>
        <w:t xml:space="preserve">расходы на </w:t>
      </w:r>
      <w:r w:rsidR="0024623D">
        <w:rPr>
          <w:rFonts w:ascii="Times New Roman" w:hAnsi="Times New Roman" w:cs="Times New Roman"/>
          <w:sz w:val="24"/>
          <w:szCs w:val="24"/>
        </w:rPr>
        <w:t>«Образование» (39</w:t>
      </w:r>
      <w:r w:rsidR="00D05A32" w:rsidRPr="00D05A32">
        <w:rPr>
          <w:rFonts w:ascii="Times New Roman" w:hAnsi="Times New Roman" w:cs="Times New Roman"/>
          <w:sz w:val="24"/>
          <w:szCs w:val="24"/>
        </w:rPr>
        <w:t xml:space="preserve">%), </w:t>
      </w:r>
      <w:r w:rsidRPr="00D05A32">
        <w:rPr>
          <w:rFonts w:ascii="Times New Roman" w:hAnsi="Times New Roman" w:cs="Times New Roman"/>
          <w:sz w:val="24"/>
          <w:szCs w:val="24"/>
        </w:rPr>
        <w:t>«Культура, кине</w:t>
      </w:r>
      <w:r>
        <w:rPr>
          <w:rFonts w:ascii="Times New Roman" w:hAnsi="Times New Roman" w:cs="Times New Roman"/>
          <w:sz w:val="24"/>
          <w:szCs w:val="24"/>
        </w:rPr>
        <w:t xml:space="preserve">матография» (11%), </w:t>
      </w:r>
      <w:r w:rsidRPr="00D05A32">
        <w:rPr>
          <w:rFonts w:ascii="Times New Roman" w:hAnsi="Times New Roman" w:cs="Times New Roman"/>
          <w:sz w:val="24"/>
          <w:szCs w:val="24"/>
        </w:rPr>
        <w:t xml:space="preserve">«Жилищно-коммунальное </w:t>
      </w:r>
      <w:r>
        <w:rPr>
          <w:rFonts w:ascii="Times New Roman" w:hAnsi="Times New Roman" w:cs="Times New Roman"/>
          <w:sz w:val="24"/>
          <w:szCs w:val="24"/>
        </w:rPr>
        <w:t>хозяйство» (10</w:t>
      </w:r>
      <w:r w:rsidRPr="00D05A32">
        <w:rPr>
          <w:rFonts w:ascii="Times New Roman" w:hAnsi="Times New Roman" w:cs="Times New Roman"/>
          <w:sz w:val="24"/>
          <w:szCs w:val="24"/>
        </w:rPr>
        <w:t xml:space="preserve">%), </w:t>
      </w:r>
      <w:r w:rsidR="00D05A32" w:rsidRPr="00D05A32">
        <w:rPr>
          <w:rFonts w:ascii="Times New Roman" w:hAnsi="Times New Roman" w:cs="Times New Roman"/>
          <w:sz w:val="24"/>
          <w:szCs w:val="24"/>
        </w:rPr>
        <w:t>«Ф</w:t>
      </w:r>
      <w:r w:rsidR="0024623D">
        <w:rPr>
          <w:rFonts w:ascii="Times New Roman" w:hAnsi="Times New Roman" w:cs="Times New Roman"/>
          <w:sz w:val="24"/>
          <w:szCs w:val="24"/>
        </w:rPr>
        <w:t>изическая культура и спорт» (</w:t>
      </w:r>
      <w:r w:rsidR="00D05A32" w:rsidRPr="00D05A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%), «Социальная политика» (1%).</w:t>
      </w:r>
    </w:p>
    <w:p w:rsidR="00863AE0" w:rsidRPr="00FF281D" w:rsidRDefault="00D05A32" w:rsidP="002F72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C2632">
        <w:rPr>
          <w:rFonts w:ascii="Times New Roman" w:hAnsi="Times New Roman" w:cs="Times New Roman"/>
          <w:sz w:val="24"/>
          <w:szCs w:val="24"/>
        </w:rPr>
        <w:t>Анализируя дан</w:t>
      </w:r>
      <w:r w:rsidR="00A71CBE" w:rsidRPr="009C2632">
        <w:rPr>
          <w:rFonts w:ascii="Times New Roman" w:hAnsi="Times New Roman" w:cs="Times New Roman"/>
          <w:sz w:val="24"/>
          <w:szCs w:val="24"/>
        </w:rPr>
        <w:t xml:space="preserve">ные, также можно сделать вывод </w:t>
      </w:r>
      <w:r w:rsidRPr="009C2632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A71CBE" w:rsidRPr="009C2632">
        <w:rPr>
          <w:rFonts w:ascii="Times New Roman" w:hAnsi="Times New Roman" w:cs="Times New Roman"/>
          <w:sz w:val="24"/>
          <w:szCs w:val="24"/>
        </w:rPr>
        <w:t>значительную долю в структуре</w:t>
      </w:r>
      <w:r w:rsidR="008A277A">
        <w:rPr>
          <w:rFonts w:ascii="Times New Roman" w:hAnsi="Times New Roman" w:cs="Times New Roman"/>
          <w:sz w:val="24"/>
          <w:szCs w:val="24"/>
        </w:rPr>
        <w:t xml:space="preserve"> (26%)</w:t>
      </w:r>
      <w:r w:rsidR="00A71CBE" w:rsidRPr="009C2632">
        <w:rPr>
          <w:rFonts w:ascii="Times New Roman" w:hAnsi="Times New Roman" w:cs="Times New Roman"/>
          <w:sz w:val="24"/>
          <w:szCs w:val="24"/>
        </w:rPr>
        <w:t xml:space="preserve"> занимают</w:t>
      </w:r>
      <w:r w:rsidR="00994405" w:rsidRPr="009C2632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6919D5">
        <w:rPr>
          <w:rFonts w:ascii="Times New Roman" w:hAnsi="Times New Roman" w:cs="Times New Roman"/>
          <w:sz w:val="24"/>
          <w:szCs w:val="24"/>
        </w:rPr>
        <w:t xml:space="preserve">на осуществление деятельности по реализации функций органа исполнительной власти, </w:t>
      </w:r>
      <w:r w:rsidR="008A277A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6919D5">
        <w:rPr>
          <w:rFonts w:ascii="Times New Roman" w:hAnsi="Times New Roman" w:cs="Times New Roman"/>
          <w:sz w:val="24"/>
          <w:szCs w:val="24"/>
        </w:rPr>
        <w:t>местного самоуправления, казенных, бюджетных учреждений (оплата труда работников, опл</w:t>
      </w:r>
      <w:r w:rsidR="008A277A">
        <w:rPr>
          <w:rFonts w:ascii="Times New Roman" w:hAnsi="Times New Roman" w:cs="Times New Roman"/>
          <w:sz w:val="24"/>
          <w:szCs w:val="24"/>
        </w:rPr>
        <w:t>ата поставок товаров, выполнения</w:t>
      </w:r>
      <w:r w:rsidR="006919D5">
        <w:rPr>
          <w:rFonts w:ascii="Times New Roman" w:hAnsi="Times New Roman" w:cs="Times New Roman"/>
          <w:sz w:val="24"/>
          <w:szCs w:val="24"/>
        </w:rPr>
        <w:t xml:space="preserve"> работ, оказани</w:t>
      </w:r>
      <w:r w:rsidR="008A277A">
        <w:rPr>
          <w:rFonts w:ascii="Times New Roman" w:hAnsi="Times New Roman" w:cs="Times New Roman"/>
          <w:sz w:val="24"/>
          <w:szCs w:val="24"/>
        </w:rPr>
        <w:t>я</w:t>
      </w:r>
      <w:r w:rsidR="006919D5">
        <w:rPr>
          <w:rFonts w:ascii="Times New Roman" w:hAnsi="Times New Roman" w:cs="Times New Roman"/>
          <w:sz w:val="24"/>
          <w:szCs w:val="24"/>
        </w:rPr>
        <w:t xml:space="preserve"> услуг, для муниципальных нужд, уплат</w:t>
      </w:r>
      <w:r w:rsidR="008A277A">
        <w:rPr>
          <w:rFonts w:ascii="Times New Roman" w:hAnsi="Times New Roman" w:cs="Times New Roman"/>
          <w:sz w:val="24"/>
          <w:szCs w:val="24"/>
        </w:rPr>
        <w:t>а</w:t>
      </w:r>
      <w:r w:rsidR="006919D5">
        <w:rPr>
          <w:rFonts w:ascii="Times New Roman" w:hAnsi="Times New Roman" w:cs="Times New Roman"/>
          <w:sz w:val="24"/>
          <w:szCs w:val="24"/>
        </w:rPr>
        <w:t xml:space="preserve"> налогов и сбор</w:t>
      </w:r>
      <w:r w:rsidR="00157779">
        <w:rPr>
          <w:rFonts w:ascii="Times New Roman" w:hAnsi="Times New Roman" w:cs="Times New Roman"/>
          <w:sz w:val="24"/>
          <w:szCs w:val="24"/>
        </w:rPr>
        <w:t>ов, иных обязательных платежей).</w:t>
      </w:r>
      <w:proofErr w:type="gramEnd"/>
      <w:r w:rsidR="00157779">
        <w:rPr>
          <w:rFonts w:ascii="Times New Roman" w:hAnsi="Times New Roman" w:cs="Times New Roman"/>
          <w:sz w:val="24"/>
          <w:szCs w:val="24"/>
        </w:rPr>
        <w:t xml:space="preserve"> </w:t>
      </w:r>
      <w:r w:rsidR="00FF2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D05A32">
        <w:rPr>
          <w:rFonts w:ascii="Times New Roman" w:hAnsi="Times New Roman" w:cs="Times New Roman"/>
          <w:sz w:val="24"/>
          <w:szCs w:val="24"/>
        </w:rPr>
        <w:t xml:space="preserve">асходы на обслуживание </w:t>
      </w:r>
      <w:r w:rsidR="007579EF">
        <w:rPr>
          <w:rFonts w:ascii="Times New Roman" w:hAnsi="Times New Roman" w:cs="Times New Roman"/>
          <w:sz w:val="24"/>
          <w:szCs w:val="24"/>
        </w:rPr>
        <w:t>муниципального долга</w:t>
      </w:r>
      <w:r w:rsidR="008A277A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7579EF">
        <w:rPr>
          <w:rFonts w:ascii="Times New Roman" w:hAnsi="Times New Roman" w:cs="Times New Roman"/>
          <w:sz w:val="24"/>
          <w:szCs w:val="24"/>
        </w:rPr>
        <w:t xml:space="preserve"> 0</w:t>
      </w:r>
      <w:r w:rsidR="00132FB7">
        <w:rPr>
          <w:rFonts w:ascii="Times New Roman" w:hAnsi="Times New Roman" w:cs="Times New Roman"/>
          <w:sz w:val="24"/>
          <w:szCs w:val="24"/>
        </w:rPr>
        <w:t>,4</w:t>
      </w:r>
      <w:r w:rsidR="00EA28CA">
        <w:rPr>
          <w:rFonts w:ascii="Times New Roman" w:hAnsi="Times New Roman" w:cs="Times New Roman"/>
          <w:sz w:val="24"/>
          <w:szCs w:val="24"/>
        </w:rPr>
        <w:t xml:space="preserve">%, </w:t>
      </w:r>
      <w:r w:rsidR="008A277A">
        <w:rPr>
          <w:rFonts w:ascii="Times New Roman" w:hAnsi="Times New Roman" w:cs="Times New Roman"/>
          <w:sz w:val="24"/>
          <w:szCs w:val="24"/>
        </w:rPr>
        <w:t xml:space="preserve">на </w:t>
      </w:r>
      <w:r w:rsidR="007579EF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 </w:t>
      </w:r>
      <w:r w:rsidR="008A277A">
        <w:rPr>
          <w:rFonts w:ascii="Times New Roman" w:hAnsi="Times New Roman" w:cs="Times New Roman"/>
          <w:sz w:val="24"/>
          <w:szCs w:val="24"/>
        </w:rPr>
        <w:t xml:space="preserve">- </w:t>
      </w:r>
      <w:r w:rsidR="007579EF">
        <w:rPr>
          <w:rFonts w:ascii="Times New Roman" w:hAnsi="Times New Roman" w:cs="Times New Roman"/>
          <w:sz w:val="24"/>
          <w:szCs w:val="24"/>
        </w:rPr>
        <w:t>0</w:t>
      </w:r>
      <w:r w:rsidR="00132FB7">
        <w:rPr>
          <w:rFonts w:ascii="Times New Roman" w:hAnsi="Times New Roman" w:cs="Times New Roman"/>
          <w:sz w:val="24"/>
          <w:szCs w:val="24"/>
        </w:rPr>
        <w:t>,1</w:t>
      </w:r>
      <w:r w:rsidR="007579EF">
        <w:rPr>
          <w:rFonts w:ascii="Times New Roman" w:hAnsi="Times New Roman" w:cs="Times New Roman"/>
          <w:sz w:val="24"/>
          <w:szCs w:val="24"/>
        </w:rPr>
        <w:t xml:space="preserve">%, </w:t>
      </w:r>
      <w:r w:rsidR="008A277A">
        <w:rPr>
          <w:rFonts w:ascii="Times New Roman" w:hAnsi="Times New Roman" w:cs="Times New Roman"/>
          <w:sz w:val="24"/>
          <w:szCs w:val="24"/>
        </w:rPr>
        <w:t xml:space="preserve">на </w:t>
      </w:r>
      <w:r w:rsidR="00EA28CA">
        <w:rPr>
          <w:rFonts w:ascii="Times New Roman" w:hAnsi="Times New Roman" w:cs="Times New Roman"/>
          <w:sz w:val="24"/>
          <w:szCs w:val="24"/>
        </w:rPr>
        <w:t>национальную безопасность и правоохранительн</w:t>
      </w:r>
      <w:r w:rsidR="008A277A">
        <w:rPr>
          <w:rFonts w:ascii="Times New Roman" w:hAnsi="Times New Roman" w:cs="Times New Roman"/>
          <w:sz w:val="24"/>
          <w:szCs w:val="24"/>
        </w:rPr>
        <w:t>ую</w:t>
      </w:r>
      <w:r w:rsidR="00EA28CA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8A277A">
        <w:rPr>
          <w:rFonts w:ascii="Times New Roman" w:hAnsi="Times New Roman" w:cs="Times New Roman"/>
          <w:sz w:val="24"/>
          <w:szCs w:val="24"/>
        </w:rPr>
        <w:t xml:space="preserve">- </w:t>
      </w:r>
      <w:r w:rsidR="00EA28CA">
        <w:rPr>
          <w:rFonts w:ascii="Times New Roman" w:hAnsi="Times New Roman" w:cs="Times New Roman"/>
          <w:sz w:val="24"/>
          <w:szCs w:val="24"/>
        </w:rPr>
        <w:t>1</w:t>
      </w:r>
      <w:r w:rsidR="007579EF">
        <w:rPr>
          <w:rFonts w:ascii="Times New Roman" w:hAnsi="Times New Roman" w:cs="Times New Roman"/>
          <w:sz w:val="24"/>
          <w:szCs w:val="24"/>
        </w:rPr>
        <w:t xml:space="preserve">%, </w:t>
      </w:r>
      <w:r w:rsidRPr="00D05A32">
        <w:rPr>
          <w:rFonts w:ascii="Times New Roman" w:hAnsi="Times New Roman" w:cs="Times New Roman"/>
          <w:sz w:val="24"/>
          <w:szCs w:val="24"/>
        </w:rPr>
        <w:t>являются незначительными</w:t>
      </w:r>
      <w:r w:rsidR="00EA28CA">
        <w:rPr>
          <w:rFonts w:ascii="Times New Roman" w:hAnsi="Times New Roman" w:cs="Times New Roman"/>
          <w:sz w:val="24"/>
          <w:szCs w:val="24"/>
        </w:rPr>
        <w:t>.</w:t>
      </w:r>
    </w:p>
    <w:p w:rsidR="00A71CBE" w:rsidRDefault="00A71CBE" w:rsidP="002F7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CBE" w:rsidRDefault="00A71CBE" w:rsidP="002F7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CBE" w:rsidRDefault="00A71CBE" w:rsidP="002F7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C15" w:rsidRPr="00D05A32" w:rsidRDefault="00A90C15" w:rsidP="002F7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8FD" w:rsidRDefault="00863AE0" w:rsidP="002F729D">
      <w:pPr>
        <w:spacing w:after="0" w:line="240" w:lineRule="auto"/>
        <w:ind w:hanging="284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5CD72F99" wp14:editId="4649D9F9">
            <wp:extent cx="5780599" cy="3180522"/>
            <wp:effectExtent l="0" t="0" r="10795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4F3A" w:rsidRDefault="00434F3A" w:rsidP="002F7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1B8C" w:rsidRDefault="00FD12D8" w:rsidP="002F72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структуры</w:t>
      </w:r>
      <w:r w:rsidR="00EA2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видам</w:t>
      </w:r>
      <w:r w:rsidRPr="00D9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расходов бюджета городского округа город Михайловка</w:t>
      </w:r>
      <w:r w:rsidR="00EA28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(рис.2)</w:t>
      </w:r>
      <w:r w:rsidRPr="00D9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показал, что наибольший удельный вес в структуре расходов занимают расходы </w:t>
      </w:r>
      <w:proofErr w:type="gramStart"/>
      <w:r w:rsidRPr="00D9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D9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B3E6A" w:rsidRDefault="00463C4D" w:rsidP="002F72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 w:rsidR="00D91B8C" w:rsidRPr="00D9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оплату труда и начисления по оплате труда</w:t>
      </w:r>
      <w:r w:rsidR="00D9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55 % (410992,20 </w:t>
      </w:r>
      <w:proofErr w:type="spellStart"/>
      <w:r w:rsidR="00D9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</w:t>
      </w:r>
      <w:proofErr w:type="gramStart"/>
      <w:r w:rsidR="00D9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="00D9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ублей</w:t>
      </w:r>
      <w:proofErr w:type="spellEnd"/>
      <w:r w:rsidR="00D9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D96253" w:rsidRDefault="00DB3E6A" w:rsidP="002F72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D91B8C" w:rsidRPr="00D9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оплата коммунальных услуг</w:t>
      </w:r>
      <w:r w:rsidR="00D9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21 % (157571,3 </w:t>
      </w:r>
      <w:proofErr w:type="spellStart"/>
      <w:r w:rsidR="00D9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</w:t>
      </w:r>
      <w:proofErr w:type="gramStart"/>
      <w:r w:rsidR="00D9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="00D9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ублей</w:t>
      </w:r>
      <w:proofErr w:type="spellEnd"/>
      <w:r w:rsidR="00D9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83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 уличное освещение в сумме 25254,9 </w:t>
      </w:r>
      <w:proofErr w:type="spellStart"/>
      <w:r w:rsidR="00283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тыс.рублей</w:t>
      </w:r>
      <w:proofErr w:type="spellEnd"/>
      <w:r w:rsidR="00283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8334D" w:rsidRDefault="00DB3E6A" w:rsidP="002F72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r w:rsidR="00283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прочие расходы на закупку товаров работ и услуг </w:t>
      </w:r>
      <w:r w:rsidR="00ED4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283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4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21 % (157298,2 </w:t>
      </w:r>
      <w:proofErr w:type="spellStart"/>
      <w:r w:rsidR="00ED4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</w:t>
      </w:r>
      <w:proofErr w:type="gramStart"/>
      <w:r w:rsidR="00ED4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="00ED4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ублей</w:t>
      </w:r>
      <w:proofErr w:type="spellEnd"/>
      <w:r w:rsidR="00ED4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6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95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них: </w:t>
      </w:r>
    </w:p>
    <w:p w:rsidR="00A423FC" w:rsidRDefault="00DB3E6A" w:rsidP="002F72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4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закупка пр</w:t>
      </w:r>
      <w:r w:rsidR="008B2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одуктов питания в сумме 36790,0</w:t>
      </w:r>
      <w:r w:rsidR="00772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2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</w:t>
      </w:r>
      <w:proofErr w:type="gramStart"/>
      <w:r w:rsidR="00772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="00772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ублей</w:t>
      </w:r>
      <w:proofErr w:type="spellEnd"/>
      <w:r w:rsidR="00772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(23,4% от суммы</w:t>
      </w:r>
      <w:r w:rsidR="00772064" w:rsidRPr="00772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2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прочих расходов на закупку товаров работ и услуг), </w:t>
      </w:r>
      <w:r w:rsidR="00846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организации питания детей в детских садах,</w:t>
      </w:r>
      <w:r w:rsidR="002B0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школах</w:t>
      </w:r>
      <w:r w:rsidR="00846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числе: МБДОУ «Детский сад Лукоморье» - 6445,4 </w:t>
      </w:r>
      <w:proofErr w:type="spellStart"/>
      <w:r w:rsidR="00A4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</w:t>
      </w:r>
      <w:proofErr w:type="gramStart"/>
      <w:r w:rsidR="00A4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="00A4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ублей</w:t>
      </w:r>
      <w:proofErr w:type="spellEnd"/>
      <w:r w:rsidR="00A4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сельские сады – 21054,7 </w:t>
      </w:r>
      <w:proofErr w:type="spellStart"/>
      <w:r w:rsidR="00A4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тыс.рублей</w:t>
      </w:r>
      <w:proofErr w:type="spellEnd"/>
      <w:r w:rsidR="00A4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школы 1-4 классы – 5444,1 </w:t>
      </w:r>
      <w:proofErr w:type="spellStart"/>
      <w:r w:rsidR="00A4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тыс.рублей</w:t>
      </w:r>
      <w:proofErr w:type="spellEnd"/>
      <w:r w:rsidR="00A4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каникулярный период – 3719,93 </w:t>
      </w:r>
      <w:proofErr w:type="spellStart"/>
      <w:r w:rsidR="00A4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тыс.рублей</w:t>
      </w:r>
      <w:proofErr w:type="spellEnd"/>
      <w:r w:rsidR="00A4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МБУ </w:t>
      </w:r>
      <w:r w:rsidR="00AF2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 </w:t>
      </w:r>
      <w:r w:rsidR="00A4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«Ленинец» - 126,0 </w:t>
      </w:r>
      <w:proofErr w:type="spellStart"/>
      <w:r w:rsidR="00A4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тыс.рублей</w:t>
      </w:r>
      <w:proofErr w:type="spellEnd"/>
      <w:r w:rsidR="00F97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97637" w:rsidRDefault="00DB3E6A" w:rsidP="002F72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6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услуги связи </w:t>
      </w:r>
      <w:r w:rsidR="008B2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11813,0</w:t>
      </w:r>
      <w:r w:rsidR="00846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46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</w:t>
      </w:r>
      <w:proofErr w:type="gramStart"/>
      <w:r w:rsidR="00846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="00846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ублей</w:t>
      </w:r>
      <w:proofErr w:type="spellEnd"/>
      <w:r w:rsidR="00846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(7,5% от суммы прочих расходов на закупку товаров, работ, услуг)</w:t>
      </w:r>
      <w:r w:rsidR="00630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(связь общего и междугороднего пользования, сотовая связь, интерне</w:t>
      </w:r>
      <w:r w:rsidR="00AF2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т, марки, конверты);</w:t>
      </w:r>
    </w:p>
    <w:p w:rsidR="00AF2385" w:rsidRDefault="00DB3E6A" w:rsidP="002F72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B2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закупка ГСМ на сумму 20987,0</w:t>
      </w:r>
      <w:r w:rsidR="0021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</w:t>
      </w:r>
      <w:proofErr w:type="gramStart"/>
      <w:r w:rsidR="0021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="0021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ублей</w:t>
      </w:r>
      <w:proofErr w:type="spellEnd"/>
      <w:r w:rsidR="0021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6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(13,3% от суммы прочих расходов на закупку товаров, работ, услуг) </w:t>
      </w:r>
      <w:r w:rsidR="0021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(МКУ «Технический центр» - 6420,9 </w:t>
      </w:r>
      <w:proofErr w:type="spellStart"/>
      <w:r w:rsidR="0021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тыс.рублей</w:t>
      </w:r>
      <w:proofErr w:type="spellEnd"/>
      <w:r w:rsidR="0021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АУ «Центр градостроительства и землеустройства» - 466,0 </w:t>
      </w:r>
      <w:proofErr w:type="spellStart"/>
      <w:r w:rsidR="0021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тыс.рублей</w:t>
      </w:r>
      <w:proofErr w:type="spellEnd"/>
      <w:r w:rsidR="0021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F76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МКУ «Единая диспетчерская служба» - 340,0 </w:t>
      </w:r>
      <w:proofErr w:type="spellStart"/>
      <w:r w:rsidR="00F76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тыс.рублей</w:t>
      </w:r>
      <w:proofErr w:type="spellEnd"/>
      <w:r w:rsidR="00F76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АУ «Комбинат благоустройства и озеленения» - </w:t>
      </w:r>
      <w:r w:rsidR="00F2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8794,8 </w:t>
      </w:r>
      <w:proofErr w:type="spellStart"/>
      <w:r w:rsidR="00F2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тыс.рубле</w:t>
      </w:r>
      <w:proofErr w:type="spellEnd"/>
      <w:r w:rsidR="00F2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МКУ «Отдел капитального строительства» - 53,0 </w:t>
      </w:r>
      <w:proofErr w:type="spellStart"/>
      <w:r w:rsidR="00F2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тыс.рублей</w:t>
      </w:r>
      <w:proofErr w:type="spellEnd"/>
      <w:r w:rsidR="00F2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 АУ «Редакция газ</w:t>
      </w:r>
      <w:r w:rsidR="003E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еты призыв» - 48,0 </w:t>
      </w:r>
      <w:proofErr w:type="spellStart"/>
      <w:r w:rsidR="003E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</w:t>
      </w:r>
      <w:proofErr w:type="gramStart"/>
      <w:r w:rsidR="003E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="003E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ублей</w:t>
      </w:r>
      <w:proofErr w:type="spellEnd"/>
      <w:r w:rsidR="003E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с</w:t>
      </w:r>
      <w:r w:rsidR="00F2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фера образования – 4865,0 </w:t>
      </w:r>
      <w:proofErr w:type="spellStart"/>
      <w:r w:rsidR="00F2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тыс.рублей</w:t>
      </w:r>
      <w:proofErr w:type="spellEnd"/>
      <w:r w:rsidR="00F2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E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E2D59" w:rsidRDefault="00DB3E6A" w:rsidP="002F7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 w:rsidR="00130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услуги по содер</w:t>
      </w:r>
      <w:r w:rsidR="008B2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жанию имущества в сумме 27065,0</w:t>
      </w:r>
      <w:r w:rsidR="00130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0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</w:t>
      </w:r>
      <w:proofErr w:type="gramStart"/>
      <w:r w:rsidR="00130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="00130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ублей</w:t>
      </w:r>
      <w:proofErr w:type="spellEnd"/>
      <w:r w:rsidR="00130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4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(17,2% от суммы прочих расходов на закупку товаров, работ, услуг) </w:t>
      </w:r>
      <w:r w:rsidR="00130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8B2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ремонт компьютерной техники, заправка картриджей, </w:t>
      </w:r>
      <w:r w:rsidR="00D4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ремонт и ТО автотранспорта, обслуживание систем оповещения и видеонаблюдения, содержание автомобильных дорог и мест захоронения, озеленение и</w:t>
      </w:r>
      <w:r w:rsidR="00514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прочие работы по</w:t>
      </w:r>
      <w:r w:rsidR="00D4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4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благоустройству</w:t>
      </w:r>
      <w:r w:rsidR="00D4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территорий, ТО электроустановок</w:t>
      </w:r>
      <w:r w:rsidR="0013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инженерного оборудования</w:t>
      </w:r>
      <w:r w:rsidR="00D4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обслуживание дымоходов в учреждениях, обустройство зданий и сооружений для инвалидов</w:t>
      </w:r>
      <w:r w:rsidR="00514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капитальный ремонт муниципального имущества, техническое обслуживание многоквартирных домов</w:t>
      </w:r>
      <w:r w:rsidR="00D4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1309CF" w:rsidRDefault="00DB3E6A" w:rsidP="002F7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  <w:t xml:space="preserve">- </w:t>
      </w:r>
      <w:r w:rsidR="00130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прочие работы</w:t>
      </w:r>
      <w:r w:rsidR="008B2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услуги в сумме 21536,0</w:t>
      </w:r>
      <w:r w:rsidR="00130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0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</w:t>
      </w:r>
      <w:proofErr w:type="gramStart"/>
      <w:r w:rsidR="00130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="00130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ублей</w:t>
      </w:r>
      <w:proofErr w:type="spellEnd"/>
      <w:r w:rsidR="00130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2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13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питания обучающихся, </w:t>
      </w:r>
      <w:r w:rsidR="00AF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услуги охраны, программное обеспечение по отраслям, система Гарант, система Консультант, антивирусные программы, полиграфические услуги, подписка, </w:t>
      </w:r>
      <w:r w:rsidR="0013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и </w:t>
      </w:r>
      <w:r w:rsidR="00AF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</w:t>
      </w:r>
      <w:r w:rsidR="00157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AF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шение квалификации</w:t>
      </w:r>
      <w:r w:rsidR="0013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сотрудников учреждений, </w:t>
      </w:r>
      <w:r w:rsidR="00514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медицинские осмотры</w:t>
      </w:r>
      <w:r w:rsidR="0013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сотрудников, организация и проведение различных мероприятий, </w:t>
      </w:r>
      <w:r w:rsidR="00514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оплата специализированной </w:t>
      </w:r>
      <w:proofErr w:type="spellStart"/>
      <w:r w:rsidR="00514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мете</w:t>
      </w:r>
      <w:r w:rsidR="003A6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514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proofErr w:type="spellEnd"/>
      <w:r w:rsidR="00514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F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минерализация и обустройство полос, покос травы, очистка территорий,</w:t>
      </w:r>
      <w:r w:rsidR="00514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благоустройство дворовых и общественных территорий в рамках формирования современной городской среды,</w:t>
      </w:r>
      <w:r w:rsidR="00AF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разработка проекта генера</w:t>
      </w:r>
      <w:r w:rsidR="00EE4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льного плана городского округа);</w:t>
      </w:r>
    </w:p>
    <w:p w:rsidR="00D91B8C" w:rsidRDefault="00DB3E6A" w:rsidP="002F72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80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мате</w:t>
      </w:r>
      <w:r w:rsidR="008B2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риальных запасов в сумме 27045,0</w:t>
      </w:r>
      <w:r w:rsidR="00C80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0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</w:t>
      </w:r>
      <w:proofErr w:type="gramStart"/>
      <w:r w:rsidR="00C80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="00C80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ублей</w:t>
      </w:r>
      <w:proofErr w:type="spellEnd"/>
      <w:r w:rsidR="00C80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1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(17,2% от суммы прочих расходов на закупку товаров, работ, услуг) </w:t>
      </w:r>
      <w:r w:rsidR="00C80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комплектующие к компьютерам, запасные части на автотранспорт, </w:t>
      </w:r>
      <w:r w:rsidR="00BA4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канцелярские принадлежности, офисная бумага, печатная продукция, бюллетени, бланки строгой отчетности, билеты для кинотеатра, медикаменты, строительные материалы, спецодежда, хозяйственные товары, новогодние кульки, бутилированная вода, расходы на организацию различных мероприятий);</w:t>
      </w:r>
    </w:p>
    <w:p w:rsidR="002876CC" w:rsidRPr="00EB3267" w:rsidRDefault="008B2B1C" w:rsidP="002F72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ж) увеличение основных средств на сумму 12060,0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ублей</w:t>
      </w:r>
      <w:proofErr w:type="spellEnd"/>
      <w:r w:rsidR="00F64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1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(7,7% от суммы прочих расходов на закупку товаров, работ, услуг) </w:t>
      </w:r>
      <w:r w:rsidR="00F64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(принтер, компьютеры, мебель, </w:t>
      </w:r>
      <w:r w:rsidR="00EB3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средства пожаротушения, устройство светофора и остановки, строительство: детского сада в черте города, крытого катка, спортивного зала, системы водоотведения, напорного канализационного коллектора, котельной). </w:t>
      </w:r>
    </w:p>
    <w:p w:rsidR="00227F2B" w:rsidRDefault="00227F2B" w:rsidP="002F7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F2B" w:rsidRDefault="00064AA7" w:rsidP="002F7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целом анализ структуры по видам расходов бюджета городского округа город Михайловка показал, что 95% расходов приходится на осуществление деятельности учреждений (оплату труда, налогов, коммунальных услуг, содержание муниципального имущества). На увеличение основных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едусмотрено менее 2% бюджетных средств, что свидетельствует о низком уровне финансовой обеспеченности бюджета муниципального образования</w:t>
      </w:r>
      <w:r w:rsidR="008A27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A277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асходы бюджета городского округа на осуществление деятельности </w:t>
      </w:r>
      <w:r w:rsidR="008A277A">
        <w:rPr>
          <w:rFonts w:ascii="Times New Roman" w:hAnsi="Times New Roman"/>
          <w:sz w:val="24"/>
          <w:szCs w:val="24"/>
        </w:rPr>
        <w:t>учреждений, в связи с индексацией, постоянно растут, и вести речь о развитии, в настоящее время, невозможно.</w:t>
      </w:r>
    </w:p>
    <w:p w:rsidR="007E52EC" w:rsidRDefault="007E52EC" w:rsidP="002F72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2ECB" w:rsidRDefault="00732ECB" w:rsidP="002F72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2ECB" w:rsidRDefault="00732ECB" w:rsidP="002F72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52EC" w:rsidRDefault="007E52EC" w:rsidP="002F729D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7E52EC" w:rsidRPr="007E52EC" w:rsidRDefault="007E52EC" w:rsidP="002F72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2EC" w:rsidRPr="00EF31FE" w:rsidRDefault="00EF31FE" w:rsidP="002F72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31FE">
        <w:rPr>
          <w:rFonts w:ascii="Times New Roman" w:hAnsi="Times New Roman"/>
          <w:b/>
          <w:sz w:val="24"/>
          <w:szCs w:val="24"/>
        </w:rPr>
        <w:t>Председатель КСК                                                                                                  В.Г. Гудкова</w:t>
      </w:r>
    </w:p>
    <w:sectPr w:rsidR="007E52EC" w:rsidRPr="00EF31FE" w:rsidSect="001B2F00">
      <w:headerReference w:type="default" r:id="rId12"/>
      <w:pgSz w:w="11906" w:h="16838"/>
      <w:pgMar w:top="1276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17" w:rsidRDefault="00352A17" w:rsidP="001B2F00">
      <w:pPr>
        <w:spacing w:after="0" w:line="240" w:lineRule="auto"/>
      </w:pPr>
      <w:r>
        <w:separator/>
      </w:r>
    </w:p>
  </w:endnote>
  <w:endnote w:type="continuationSeparator" w:id="0">
    <w:p w:rsidR="00352A17" w:rsidRDefault="00352A17" w:rsidP="001B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17" w:rsidRDefault="00352A17" w:rsidP="001B2F00">
      <w:pPr>
        <w:spacing w:after="0" w:line="240" w:lineRule="auto"/>
      </w:pPr>
      <w:r>
        <w:separator/>
      </w:r>
    </w:p>
  </w:footnote>
  <w:footnote w:type="continuationSeparator" w:id="0">
    <w:p w:rsidR="00352A17" w:rsidRDefault="00352A17" w:rsidP="001B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072305"/>
      <w:docPartObj>
        <w:docPartGallery w:val="Page Numbers (Top of Page)"/>
        <w:docPartUnique/>
      </w:docPartObj>
    </w:sdtPr>
    <w:sdtEndPr/>
    <w:sdtContent>
      <w:p w:rsidR="003408DE" w:rsidRDefault="003408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122">
          <w:rPr>
            <w:noProof/>
          </w:rPr>
          <w:t>2</w:t>
        </w:r>
        <w:r>
          <w:fldChar w:fldCharType="end"/>
        </w:r>
      </w:p>
    </w:sdtContent>
  </w:sdt>
  <w:p w:rsidR="003408DE" w:rsidRDefault="003408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666"/>
    <w:multiLevelType w:val="hybridMultilevel"/>
    <w:tmpl w:val="DDBE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26733"/>
    <w:multiLevelType w:val="hybridMultilevel"/>
    <w:tmpl w:val="92C0374E"/>
    <w:lvl w:ilvl="0" w:tplc="C22482E2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47775F83"/>
    <w:multiLevelType w:val="hybridMultilevel"/>
    <w:tmpl w:val="8C88A194"/>
    <w:lvl w:ilvl="0" w:tplc="80BAF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36"/>
    <w:rsid w:val="00000004"/>
    <w:rsid w:val="00007CF1"/>
    <w:rsid w:val="000119B1"/>
    <w:rsid w:val="0001448C"/>
    <w:rsid w:val="0001464E"/>
    <w:rsid w:val="00020016"/>
    <w:rsid w:val="000264BF"/>
    <w:rsid w:val="00027270"/>
    <w:rsid w:val="000279E0"/>
    <w:rsid w:val="000309F5"/>
    <w:rsid w:val="00032C4F"/>
    <w:rsid w:val="00037F1F"/>
    <w:rsid w:val="00043398"/>
    <w:rsid w:val="000524C8"/>
    <w:rsid w:val="00060515"/>
    <w:rsid w:val="00060E9F"/>
    <w:rsid w:val="00061EC4"/>
    <w:rsid w:val="0006397A"/>
    <w:rsid w:val="00064AA7"/>
    <w:rsid w:val="000660BB"/>
    <w:rsid w:val="0007328C"/>
    <w:rsid w:val="00073836"/>
    <w:rsid w:val="0008189E"/>
    <w:rsid w:val="00083BD8"/>
    <w:rsid w:val="000846A5"/>
    <w:rsid w:val="00086A8F"/>
    <w:rsid w:val="0009003E"/>
    <w:rsid w:val="000935BF"/>
    <w:rsid w:val="00096D4C"/>
    <w:rsid w:val="000972FC"/>
    <w:rsid w:val="000A1BEF"/>
    <w:rsid w:val="000A230B"/>
    <w:rsid w:val="000A3891"/>
    <w:rsid w:val="000B6085"/>
    <w:rsid w:val="000C1E68"/>
    <w:rsid w:val="000C6299"/>
    <w:rsid w:val="000C7A62"/>
    <w:rsid w:val="000D0BDB"/>
    <w:rsid w:val="000E66C2"/>
    <w:rsid w:val="000E6C30"/>
    <w:rsid w:val="000F2DAB"/>
    <w:rsid w:val="000F330F"/>
    <w:rsid w:val="000F488A"/>
    <w:rsid w:val="000F5EA6"/>
    <w:rsid w:val="000F69BA"/>
    <w:rsid w:val="0010209B"/>
    <w:rsid w:val="0010472F"/>
    <w:rsid w:val="001047AD"/>
    <w:rsid w:val="001071A8"/>
    <w:rsid w:val="00111405"/>
    <w:rsid w:val="001122D5"/>
    <w:rsid w:val="001136B6"/>
    <w:rsid w:val="00113725"/>
    <w:rsid w:val="00115C19"/>
    <w:rsid w:val="0012115E"/>
    <w:rsid w:val="00121EE4"/>
    <w:rsid w:val="001224E3"/>
    <w:rsid w:val="00122519"/>
    <w:rsid w:val="00130284"/>
    <w:rsid w:val="001309CF"/>
    <w:rsid w:val="0013119E"/>
    <w:rsid w:val="00132BC8"/>
    <w:rsid w:val="00132FB7"/>
    <w:rsid w:val="00134CEA"/>
    <w:rsid w:val="00135382"/>
    <w:rsid w:val="0013549C"/>
    <w:rsid w:val="00145127"/>
    <w:rsid w:val="00146C2E"/>
    <w:rsid w:val="00152543"/>
    <w:rsid w:val="00157779"/>
    <w:rsid w:val="001634B7"/>
    <w:rsid w:val="00171145"/>
    <w:rsid w:val="00171E46"/>
    <w:rsid w:val="0017212B"/>
    <w:rsid w:val="00173353"/>
    <w:rsid w:val="00174DAE"/>
    <w:rsid w:val="00176848"/>
    <w:rsid w:val="001769C8"/>
    <w:rsid w:val="00177F8D"/>
    <w:rsid w:val="0018062E"/>
    <w:rsid w:val="001822BB"/>
    <w:rsid w:val="00182395"/>
    <w:rsid w:val="001823E8"/>
    <w:rsid w:val="00183BFD"/>
    <w:rsid w:val="00184590"/>
    <w:rsid w:val="00186500"/>
    <w:rsid w:val="00186956"/>
    <w:rsid w:val="0018769D"/>
    <w:rsid w:val="00190F6F"/>
    <w:rsid w:val="00191397"/>
    <w:rsid w:val="00197200"/>
    <w:rsid w:val="001A32DB"/>
    <w:rsid w:val="001B042B"/>
    <w:rsid w:val="001B1C6D"/>
    <w:rsid w:val="001B2F00"/>
    <w:rsid w:val="001B53D2"/>
    <w:rsid w:val="001B6FB9"/>
    <w:rsid w:val="001C2210"/>
    <w:rsid w:val="001C27B4"/>
    <w:rsid w:val="001C622B"/>
    <w:rsid w:val="001D44BA"/>
    <w:rsid w:val="001E228F"/>
    <w:rsid w:val="001E22C5"/>
    <w:rsid w:val="001E51AD"/>
    <w:rsid w:val="001E7837"/>
    <w:rsid w:val="001E7E3C"/>
    <w:rsid w:val="001F4973"/>
    <w:rsid w:val="00200491"/>
    <w:rsid w:val="00200880"/>
    <w:rsid w:val="00200D07"/>
    <w:rsid w:val="00202553"/>
    <w:rsid w:val="00202700"/>
    <w:rsid w:val="00205219"/>
    <w:rsid w:val="00206AB6"/>
    <w:rsid w:val="0021102E"/>
    <w:rsid w:val="00212139"/>
    <w:rsid w:val="00212A31"/>
    <w:rsid w:val="002150DA"/>
    <w:rsid w:val="0021603D"/>
    <w:rsid w:val="00217711"/>
    <w:rsid w:val="00217934"/>
    <w:rsid w:val="00227F2B"/>
    <w:rsid w:val="002309C3"/>
    <w:rsid w:val="00231EC1"/>
    <w:rsid w:val="00233941"/>
    <w:rsid w:val="0023543E"/>
    <w:rsid w:val="0023606B"/>
    <w:rsid w:val="0023642E"/>
    <w:rsid w:val="0023715C"/>
    <w:rsid w:val="0024098F"/>
    <w:rsid w:val="00241244"/>
    <w:rsid w:val="00242476"/>
    <w:rsid w:val="0024247D"/>
    <w:rsid w:val="002444AA"/>
    <w:rsid w:val="00245842"/>
    <w:rsid w:val="0024623D"/>
    <w:rsid w:val="00246A1E"/>
    <w:rsid w:val="002556F9"/>
    <w:rsid w:val="002575D7"/>
    <w:rsid w:val="00260203"/>
    <w:rsid w:val="00260D5A"/>
    <w:rsid w:val="002610C6"/>
    <w:rsid w:val="002635F4"/>
    <w:rsid w:val="00267313"/>
    <w:rsid w:val="00267876"/>
    <w:rsid w:val="002729D0"/>
    <w:rsid w:val="00274280"/>
    <w:rsid w:val="00275063"/>
    <w:rsid w:val="002766EE"/>
    <w:rsid w:val="00282290"/>
    <w:rsid w:val="00282F13"/>
    <w:rsid w:val="0028334D"/>
    <w:rsid w:val="00284401"/>
    <w:rsid w:val="00285491"/>
    <w:rsid w:val="002876CC"/>
    <w:rsid w:val="00287A3E"/>
    <w:rsid w:val="00287F4B"/>
    <w:rsid w:val="00293E09"/>
    <w:rsid w:val="002942F0"/>
    <w:rsid w:val="002943DF"/>
    <w:rsid w:val="00295490"/>
    <w:rsid w:val="002957BF"/>
    <w:rsid w:val="0029618A"/>
    <w:rsid w:val="002A007B"/>
    <w:rsid w:val="002A06D1"/>
    <w:rsid w:val="002A28EE"/>
    <w:rsid w:val="002A2A96"/>
    <w:rsid w:val="002B028C"/>
    <w:rsid w:val="002B0881"/>
    <w:rsid w:val="002B0A5E"/>
    <w:rsid w:val="002B249E"/>
    <w:rsid w:val="002B4510"/>
    <w:rsid w:val="002B708D"/>
    <w:rsid w:val="002C17D5"/>
    <w:rsid w:val="002C269C"/>
    <w:rsid w:val="002C40E9"/>
    <w:rsid w:val="002C558C"/>
    <w:rsid w:val="002D02C8"/>
    <w:rsid w:val="002D77DA"/>
    <w:rsid w:val="002E054C"/>
    <w:rsid w:val="002E0644"/>
    <w:rsid w:val="002E1FAF"/>
    <w:rsid w:val="002E70E9"/>
    <w:rsid w:val="002F65A4"/>
    <w:rsid w:val="002F723A"/>
    <w:rsid w:val="002F729D"/>
    <w:rsid w:val="003019E7"/>
    <w:rsid w:val="00305FB2"/>
    <w:rsid w:val="0030767E"/>
    <w:rsid w:val="00315D80"/>
    <w:rsid w:val="003172F0"/>
    <w:rsid w:val="003249E4"/>
    <w:rsid w:val="00324A3A"/>
    <w:rsid w:val="00325D82"/>
    <w:rsid w:val="0032601F"/>
    <w:rsid w:val="00327244"/>
    <w:rsid w:val="00330565"/>
    <w:rsid w:val="003408DE"/>
    <w:rsid w:val="00340E38"/>
    <w:rsid w:val="00343D4F"/>
    <w:rsid w:val="00352A17"/>
    <w:rsid w:val="00354A18"/>
    <w:rsid w:val="00357C9B"/>
    <w:rsid w:val="00363A6A"/>
    <w:rsid w:val="00373781"/>
    <w:rsid w:val="003837D5"/>
    <w:rsid w:val="00385530"/>
    <w:rsid w:val="00386D06"/>
    <w:rsid w:val="0039050B"/>
    <w:rsid w:val="0039094B"/>
    <w:rsid w:val="0039322B"/>
    <w:rsid w:val="00394457"/>
    <w:rsid w:val="003A03EB"/>
    <w:rsid w:val="003A1EB6"/>
    <w:rsid w:val="003A5D14"/>
    <w:rsid w:val="003A60C4"/>
    <w:rsid w:val="003A62E8"/>
    <w:rsid w:val="003A67A1"/>
    <w:rsid w:val="003A741F"/>
    <w:rsid w:val="003B0900"/>
    <w:rsid w:val="003B346F"/>
    <w:rsid w:val="003B4E2E"/>
    <w:rsid w:val="003B6D42"/>
    <w:rsid w:val="003B778E"/>
    <w:rsid w:val="003C5F7B"/>
    <w:rsid w:val="003C7548"/>
    <w:rsid w:val="003D1C8B"/>
    <w:rsid w:val="003D1D78"/>
    <w:rsid w:val="003D1FDE"/>
    <w:rsid w:val="003D7B98"/>
    <w:rsid w:val="003D7B9D"/>
    <w:rsid w:val="003E1D1F"/>
    <w:rsid w:val="003E2D59"/>
    <w:rsid w:val="003F13AE"/>
    <w:rsid w:val="003F21B7"/>
    <w:rsid w:val="003F540F"/>
    <w:rsid w:val="00400277"/>
    <w:rsid w:val="00401024"/>
    <w:rsid w:val="004050F2"/>
    <w:rsid w:val="00411A53"/>
    <w:rsid w:val="0041234E"/>
    <w:rsid w:val="004151C6"/>
    <w:rsid w:val="00416B80"/>
    <w:rsid w:val="00417F4A"/>
    <w:rsid w:val="00420D73"/>
    <w:rsid w:val="00424D85"/>
    <w:rsid w:val="0042673E"/>
    <w:rsid w:val="0043030B"/>
    <w:rsid w:val="00434F3A"/>
    <w:rsid w:val="00440543"/>
    <w:rsid w:val="00440E5F"/>
    <w:rsid w:val="00441480"/>
    <w:rsid w:val="00441C44"/>
    <w:rsid w:val="0044734F"/>
    <w:rsid w:val="00447CB8"/>
    <w:rsid w:val="00456A2A"/>
    <w:rsid w:val="00463C4D"/>
    <w:rsid w:val="004652F7"/>
    <w:rsid w:val="004674DE"/>
    <w:rsid w:val="00467653"/>
    <w:rsid w:val="00467DB7"/>
    <w:rsid w:val="004701E6"/>
    <w:rsid w:val="004713D8"/>
    <w:rsid w:val="004716A3"/>
    <w:rsid w:val="00474B91"/>
    <w:rsid w:val="00476E8F"/>
    <w:rsid w:val="00480A3B"/>
    <w:rsid w:val="0048558A"/>
    <w:rsid w:val="0049013D"/>
    <w:rsid w:val="00490F04"/>
    <w:rsid w:val="0049180D"/>
    <w:rsid w:val="00492721"/>
    <w:rsid w:val="00492A9A"/>
    <w:rsid w:val="0049536B"/>
    <w:rsid w:val="00495979"/>
    <w:rsid w:val="004A1BA8"/>
    <w:rsid w:val="004A297C"/>
    <w:rsid w:val="004A5DA0"/>
    <w:rsid w:val="004A679E"/>
    <w:rsid w:val="004B0CF6"/>
    <w:rsid w:val="004C1275"/>
    <w:rsid w:val="004C17F5"/>
    <w:rsid w:val="004C6B0B"/>
    <w:rsid w:val="004D2473"/>
    <w:rsid w:val="004D66A9"/>
    <w:rsid w:val="004D7BBD"/>
    <w:rsid w:val="004E03BA"/>
    <w:rsid w:val="004E3182"/>
    <w:rsid w:val="004E4D03"/>
    <w:rsid w:val="004F13FF"/>
    <w:rsid w:val="004F3464"/>
    <w:rsid w:val="004F3DA5"/>
    <w:rsid w:val="004F44B7"/>
    <w:rsid w:val="004F4C9D"/>
    <w:rsid w:val="004F5DE5"/>
    <w:rsid w:val="004F642D"/>
    <w:rsid w:val="00503D4C"/>
    <w:rsid w:val="00505B82"/>
    <w:rsid w:val="00505D15"/>
    <w:rsid w:val="0051383C"/>
    <w:rsid w:val="00514A66"/>
    <w:rsid w:val="00514A9E"/>
    <w:rsid w:val="00517CE3"/>
    <w:rsid w:val="00520FAC"/>
    <w:rsid w:val="005256A6"/>
    <w:rsid w:val="00536C83"/>
    <w:rsid w:val="00537779"/>
    <w:rsid w:val="00542038"/>
    <w:rsid w:val="005472FB"/>
    <w:rsid w:val="00556BEF"/>
    <w:rsid w:val="005613EB"/>
    <w:rsid w:val="005639B7"/>
    <w:rsid w:val="00565232"/>
    <w:rsid w:val="0056757F"/>
    <w:rsid w:val="00567BF2"/>
    <w:rsid w:val="005714B7"/>
    <w:rsid w:val="00575623"/>
    <w:rsid w:val="00582C55"/>
    <w:rsid w:val="005835AB"/>
    <w:rsid w:val="00586257"/>
    <w:rsid w:val="0058720F"/>
    <w:rsid w:val="00587F72"/>
    <w:rsid w:val="0059550B"/>
    <w:rsid w:val="005962B6"/>
    <w:rsid w:val="00597364"/>
    <w:rsid w:val="005A5E4E"/>
    <w:rsid w:val="005A6EB5"/>
    <w:rsid w:val="005B3C8A"/>
    <w:rsid w:val="005B70B2"/>
    <w:rsid w:val="005B746C"/>
    <w:rsid w:val="005B7590"/>
    <w:rsid w:val="005B764A"/>
    <w:rsid w:val="005C0FE0"/>
    <w:rsid w:val="005C3A0B"/>
    <w:rsid w:val="005C4C0D"/>
    <w:rsid w:val="005D01B4"/>
    <w:rsid w:val="005D0799"/>
    <w:rsid w:val="005D1443"/>
    <w:rsid w:val="005D19F5"/>
    <w:rsid w:val="005D2BD6"/>
    <w:rsid w:val="005E1958"/>
    <w:rsid w:val="005E5B58"/>
    <w:rsid w:val="005F0424"/>
    <w:rsid w:val="005F1426"/>
    <w:rsid w:val="005F27E5"/>
    <w:rsid w:val="005F3BE5"/>
    <w:rsid w:val="005F65A8"/>
    <w:rsid w:val="005F7196"/>
    <w:rsid w:val="00603E3A"/>
    <w:rsid w:val="00604396"/>
    <w:rsid w:val="00605E5E"/>
    <w:rsid w:val="006102A9"/>
    <w:rsid w:val="006179E9"/>
    <w:rsid w:val="006222A3"/>
    <w:rsid w:val="006308DA"/>
    <w:rsid w:val="00630B37"/>
    <w:rsid w:val="00630CF7"/>
    <w:rsid w:val="00630D88"/>
    <w:rsid w:val="00637A92"/>
    <w:rsid w:val="00642F84"/>
    <w:rsid w:val="006442B0"/>
    <w:rsid w:val="006442D3"/>
    <w:rsid w:val="00647272"/>
    <w:rsid w:val="006477DC"/>
    <w:rsid w:val="006523CF"/>
    <w:rsid w:val="00652A6D"/>
    <w:rsid w:val="00654F90"/>
    <w:rsid w:val="00655DC7"/>
    <w:rsid w:val="006561A5"/>
    <w:rsid w:val="006575E3"/>
    <w:rsid w:val="006628EA"/>
    <w:rsid w:val="00664484"/>
    <w:rsid w:val="006734B5"/>
    <w:rsid w:val="006739F0"/>
    <w:rsid w:val="0067426C"/>
    <w:rsid w:val="006742C6"/>
    <w:rsid w:val="006761D5"/>
    <w:rsid w:val="0067698F"/>
    <w:rsid w:val="00676D5D"/>
    <w:rsid w:val="00676EC2"/>
    <w:rsid w:val="00680001"/>
    <w:rsid w:val="00680206"/>
    <w:rsid w:val="0068053D"/>
    <w:rsid w:val="006817A5"/>
    <w:rsid w:val="006919D5"/>
    <w:rsid w:val="00692E77"/>
    <w:rsid w:val="00697929"/>
    <w:rsid w:val="006A0276"/>
    <w:rsid w:val="006A1033"/>
    <w:rsid w:val="006A7B12"/>
    <w:rsid w:val="006B0506"/>
    <w:rsid w:val="006B7415"/>
    <w:rsid w:val="006C624D"/>
    <w:rsid w:val="006D212D"/>
    <w:rsid w:val="006D3089"/>
    <w:rsid w:val="006D6BA0"/>
    <w:rsid w:val="006E06AF"/>
    <w:rsid w:val="006E7033"/>
    <w:rsid w:val="006F0053"/>
    <w:rsid w:val="006F01BA"/>
    <w:rsid w:val="006F1D07"/>
    <w:rsid w:val="006F3CFC"/>
    <w:rsid w:val="006F5C61"/>
    <w:rsid w:val="006F5D45"/>
    <w:rsid w:val="006F7ED2"/>
    <w:rsid w:val="00701702"/>
    <w:rsid w:val="00703330"/>
    <w:rsid w:val="00703627"/>
    <w:rsid w:val="007101F2"/>
    <w:rsid w:val="0071109E"/>
    <w:rsid w:val="00711E33"/>
    <w:rsid w:val="00714F9F"/>
    <w:rsid w:val="007212D8"/>
    <w:rsid w:val="007232F4"/>
    <w:rsid w:val="00732B76"/>
    <w:rsid w:val="00732ECB"/>
    <w:rsid w:val="0073623B"/>
    <w:rsid w:val="0073743B"/>
    <w:rsid w:val="00742AB7"/>
    <w:rsid w:val="007444DD"/>
    <w:rsid w:val="007451BD"/>
    <w:rsid w:val="00753684"/>
    <w:rsid w:val="007542BF"/>
    <w:rsid w:val="00757186"/>
    <w:rsid w:val="007579EF"/>
    <w:rsid w:val="00765465"/>
    <w:rsid w:val="007709FD"/>
    <w:rsid w:val="007711FC"/>
    <w:rsid w:val="00772064"/>
    <w:rsid w:val="00773085"/>
    <w:rsid w:val="007745BA"/>
    <w:rsid w:val="00776966"/>
    <w:rsid w:val="007773E2"/>
    <w:rsid w:val="00777FFA"/>
    <w:rsid w:val="00780F30"/>
    <w:rsid w:val="00781FA4"/>
    <w:rsid w:val="00782788"/>
    <w:rsid w:val="00787AC7"/>
    <w:rsid w:val="00791C40"/>
    <w:rsid w:val="00793892"/>
    <w:rsid w:val="00793D4A"/>
    <w:rsid w:val="00794950"/>
    <w:rsid w:val="007961EB"/>
    <w:rsid w:val="00797D0D"/>
    <w:rsid w:val="007A13FE"/>
    <w:rsid w:val="007A373D"/>
    <w:rsid w:val="007A3ED9"/>
    <w:rsid w:val="007A5C81"/>
    <w:rsid w:val="007A6F7E"/>
    <w:rsid w:val="007B16FB"/>
    <w:rsid w:val="007B19B4"/>
    <w:rsid w:val="007C313E"/>
    <w:rsid w:val="007C531E"/>
    <w:rsid w:val="007C683C"/>
    <w:rsid w:val="007D1639"/>
    <w:rsid w:val="007D25AD"/>
    <w:rsid w:val="007D483E"/>
    <w:rsid w:val="007D4966"/>
    <w:rsid w:val="007D4E8D"/>
    <w:rsid w:val="007E03BC"/>
    <w:rsid w:val="007E467D"/>
    <w:rsid w:val="007E48CB"/>
    <w:rsid w:val="007E52EC"/>
    <w:rsid w:val="007E566C"/>
    <w:rsid w:val="007E7D44"/>
    <w:rsid w:val="007F195A"/>
    <w:rsid w:val="007F576A"/>
    <w:rsid w:val="007F5E9C"/>
    <w:rsid w:val="007F66A7"/>
    <w:rsid w:val="008031C4"/>
    <w:rsid w:val="0080351A"/>
    <w:rsid w:val="008041FF"/>
    <w:rsid w:val="0080733E"/>
    <w:rsid w:val="008108CA"/>
    <w:rsid w:val="00811342"/>
    <w:rsid w:val="00815DEC"/>
    <w:rsid w:val="00822CE2"/>
    <w:rsid w:val="008245BE"/>
    <w:rsid w:val="008268BF"/>
    <w:rsid w:val="00827AF6"/>
    <w:rsid w:val="0083064D"/>
    <w:rsid w:val="00833623"/>
    <w:rsid w:val="00841859"/>
    <w:rsid w:val="008437F8"/>
    <w:rsid w:val="008448B7"/>
    <w:rsid w:val="00846087"/>
    <w:rsid w:val="0084619D"/>
    <w:rsid w:val="00846AD0"/>
    <w:rsid w:val="00854487"/>
    <w:rsid w:val="00854BDB"/>
    <w:rsid w:val="00856AE4"/>
    <w:rsid w:val="008570C7"/>
    <w:rsid w:val="0086356A"/>
    <w:rsid w:val="00863AE0"/>
    <w:rsid w:val="00863FB7"/>
    <w:rsid w:val="00864B8A"/>
    <w:rsid w:val="0086512D"/>
    <w:rsid w:val="00871D15"/>
    <w:rsid w:val="008812A6"/>
    <w:rsid w:val="00884B49"/>
    <w:rsid w:val="00885A36"/>
    <w:rsid w:val="00885C49"/>
    <w:rsid w:val="008909F1"/>
    <w:rsid w:val="00891E26"/>
    <w:rsid w:val="008928FE"/>
    <w:rsid w:val="00897A9F"/>
    <w:rsid w:val="008A1AEF"/>
    <w:rsid w:val="008A26CC"/>
    <w:rsid w:val="008A277A"/>
    <w:rsid w:val="008A413E"/>
    <w:rsid w:val="008B0518"/>
    <w:rsid w:val="008B0EA0"/>
    <w:rsid w:val="008B26F4"/>
    <w:rsid w:val="008B2B1C"/>
    <w:rsid w:val="008B4F0B"/>
    <w:rsid w:val="008B72C8"/>
    <w:rsid w:val="008C4958"/>
    <w:rsid w:val="008C4FA2"/>
    <w:rsid w:val="008D2458"/>
    <w:rsid w:val="008D26F3"/>
    <w:rsid w:val="008D27E5"/>
    <w:rsid w:val="008D460D"/>
    <w:rsid w:val="008D63D2"/>
    <w:rsid w:val="008E264E"/>
    <w:rsid w:val="008F118A"/>
    <w:rsid w:val="008F2E22"/>
    <w:rsid w:val="008F33DB"/>
    <w:rsid w:val="008F515B"/>
    <w:rsid w:val="008F561B"/>
    <w:rsid w:val="008F56D0"/>
    <w:rsid w:val="008F783E"/>
    <w:rsid w:val="0090010B"/>
    <w:rsid w:val="009011DE"/>
    <w:rsid w:val="00901C61"/>
    <w:rsid w:val="00901EA6"/>
    <w:rsid w:val="00906B26"/>
    <w:rsid w:val="00906F1F"/>
    <w:rsid w:val="00910471"/>
    <w:rsid w:val="009117D1"/>
    <w:rsid w:val="00916D3A"/>
    <w:rsid w:val="00922CBE"/>
    <w:rsid w:val="00926805"/>
    <w:rsid w:val="0093047C"/>
    <w:rsid w:val="00932985"/>
    <w:rsid w:val="00933706"/>
    <w:rsid w:val="009371BB"/>
    <w:rsid w:val="00937B31"/>
    <w:rsid w:val="00937E8D"/>
    <w:rsid w:val="009404DD"/>
    <w:rsid w:val="0094104B"/>
    <w:rsid w:val="00941F62"/>
    <w:rsid w:val="00941FA4"/>
    <w:rsid w:val="00944060"/>
    <w:rsid w:val="0095175B"/>
    <w:rsid w:val="00951888"/>
    <w:rsid w:val="00953979"/>
    <w:rsid w:val="0095424F"/>
    <w:rsid w:val="00957049"/>
    <w:rsid w:val="009603AF"/>
    <w:rsid w:val="009612AF"/>
    <w:rsid w:val="00963CF7"/>
    <w:rsid w:val="00966766"/>
    <w:rsid w:val="009671EF"/>
    <w:rsid w:val="009677CC"/>
    <w:rsid w:val="00970E44"/>
    <w:rsid w:val="00971571"/>
    <w:rsid w:val="009716AA"/>
    <w:rsid w:val="009736EE"/>
    <w:rsid w:val="00980C58"/>
    <w:rsid w:val="0098220C"/>
    <w:rsid w:val="0099439B"/>
    <w:rsid w:val="00994405"/>
    <w:rsid w:val="009A5356"/>
    <w:rsid w:val="009A54BB"/>
    <w:rsid w:val="009B00F0"/>
    <w:rsid w:val="009B2BAE"/>
    <w:rsid w:val="009B4BB9"/>
    <w:rsid w:val="009C0C9E"/>
    <w:rsid w:val="009C2632"/>
    <w:rsid w:val="009C2E61"/>
    <w:rsid w:val="009C520D"/>
    <w:rsid w:val="009C75C5"/>
    <w:rsid w:val="009C7C67"/>
    <w:rsid w:val="009D0559"/>
    <w:rsid w:val="009D1839"/>
    <w:rsid w:val="009D3FA3"/>
    <w:rsid w:val="009D46A6"/>
    <w:rsid w:val="009D635C"/>
    <w:rsid w:val="009D7B05"/>
    <w:rsid w:val="009E0FAC"/>
    <w:rsid w:val="009E471B"/>
    <w:rsid w:val="009E5C3F"/>
    <w:rsid w:val="009E64AF"/>
    <w:rsid w:val="009E7B2F"/>
    <w:rsid w:val="009F116D"/>
    <w:rsid w:val="009F299E"/>
    <w:rsid w:val="009F6C71"/>
    <w:rsid w:val="00A02280"/>
    <w:rsid w:val="00A03431"/>
    <w:rsid w:val="00A063F6"/>
    <w:rsid w:val="00A07C70"/>
    <w:rsid w:val="00A1008C"/>
    <w:rsid w:val="00A10CE1"/>
    <w:rsid w:val="00A125FD"/>
    <w:rsid w:val="00A144AC"/>
    <w:rsid w:val="00A159A8"/>
    <w:rsid w:val="00A2422D"/>
    <w:rsid w:val="00A24525"/>
    <w:rsid w:val="00A2552E"/>
    <w:rsid w:val="00A308A2"/>
    <w:rsid w:val="00A31AE9"/>
    <w:rsid w:val="00A31DDB"/>
    <w:rsid w:val="00A32553"/>
    <w:rsid w:val="00A33B45"/>
    <w:rsid w:val="00A33E70"/>
    <w:rsid w:val="00A34A08"/>
    <w:rsid w:val="00A37C55"/>
    <w:rsid w:val="00A37DD0"/>
    <w:rsid w:val="00A40F84"/>
    <w:rsid w:val="00A41E1D"/>
    <w:rsid w:val="00A423FC"/>
    <w:rsid w:val="00A4249B"/>
    <w:rsid w:val="00A432B3"/>
    <w:rsid w:val="00A46461"/>
    <w:rsid w:val="00A46A39"/>
    <w:rsid w:val="00A5096C"/>
    <w:rsid w:val="00A52C04"/>
    <w:rsid w:val="00A54B19"/>
    <w:rsid w:val="00A54B67"/>
    <w:rsid w:val="00A62D54"/>
    <w:rsid w:val="00A635EE"/>
    <w:rsid w:val="00A64E61"/>
    <w:rsid w:val="00A65CE7"/>
    <w:rsid w:val="00A65CF4"/>
    <w:rsid w:val="00A71CBE"/>
    <w:rsid w:val="00A80E72"/>
    <w:rsid w:val="00A82BCB"/>
    <w:rsid w:val="00A84B7B"/>
    <w:rsid w:val="00A90C15"/>
    <w:rsid w:val="00A91E83"/>
    <w:rsid w:val="00A9416E"/>
    <w:rsid w:val="00A949B8"/>
    <w:rsid w:val="00A9580A"/>
    <w:rsid w:val="00A95CAA"/>
    <w:rsid w:val="00A969FF"/>
    <w:rsid w:val="00AA1515"/>
    <w:rsid w:val="00AA1DBB"/>
    <w:rsid w:val="00AA39F6"/>
    <w:rsid w:val="00AA485D"/>
    <w:rsid w:val="00AA76F7"/>
    <w:rsid w:val="00AB18A4"/>
    <w:rsid w:val="00AB3F6A"/>
    <w:rsid w:val="00AB5061"/>
    <w:rsid w:val="00AB700E"/>
    <w:rsid w:val="00AC02E5"/>
    <w:rsid w:val="00AC2394"/>
    <w:rsid w:val="00AC3E39"/>
    <w:rsid w:val="00AC60D6"/>
    <w:rsid w:val="00AD0D67"/>
    <w:rsid w:val="00AD2DA8"/>
    <w:rsid w:val="00AD67CD"/>
    <w:rsid w:val="00AE3AAE"/>
    <w:rsid w:val="00AE78B0"/>
    <w:rsid w:val="00AE7FC4"/>
    <w:rsid w:val="00AF1156"/>
    <w:rsid w:val="00AF2385"/>
    <w:rsid w:val="00AF2A66"/>
    <w:rsid w:val="00AF31AD"/>
    <w:rsid w:val="00AF4537"/>
    <w:rsid w:val="00AF6F90"/>
    <w:rsid w:val="00AF724A"/>
    <w:rsid w:val="00B05913"/>
    <w:rsid w:val="00B05A8E"/>
    <w:rsid w:val="00B12814"/>
    <w:rsid w:val="00B201A7"/>
    <w:rsid w:val="00B20321"/>
    <w:rsid w:val="00B23957"/>
    <w:rsid w:val="00B23D2F"/>
    <w:rsid w:val="00B24660"/>
    <w:rsid w:val="00B31F1B"/>
    <w:rsid w:val="00B3335B"/>
    <w:rsid w:val="00B33BD4"/>
    <w:rsid w:val="00B33D4F"/>
    <w:rsid w:val="00B34C23"/>
    <w:rsid w:val="00B34D48"/>
    <w:rsid w:val="00B37811"/>
    <w:rsid w:val="00B40FA5"/>
    <w:rsid w:val="00B41FEE"/>
    <w:rsid w:val="00B51B73"/>
    <w:rsid w:val="00B52ADC"/>
    <w:rsid w:val="00B55E03"/>
    <w:rsid w:val="00B63E73"/>
    <w:rsid w:val="00B63F5A"/>
    <w:rsid w:val="00B80D52"/>
    <w:rsid w:val="00B84820"/>
    <w:rsid w:val="00B8536B"/>
    <w:rsid w:val="00B85A06"/>
    <w:rsid w:val="00B9065B"/>
    <w:rsid w:val="00B9123D"/>
    <w:rsid w:val="00B92395"/>
    <w:rsid w:val="00B94101"/>
    <w:rsid w:val="00BA327D"/>
    <w:rsid w:val="00BA438E"/>
    <w:rsid w:val="00BA43B6"/>
    <w:rsid w:val="00BA4EEB"/>
    <w:rsid w:val="00BA56F3"/>
    <w:rsid w:val="00BA5A1D"/>
    <w:rsid w:val="00BB03E1"/>
    <w:rsid w:val="00BB1A99"/>
    <w:rsid w:val="00BB2EB3"/>
    <w:rsid w:val="00BB4424"/>
    <w:rsid w:val="00BC0747"/>
    <w:rsid w:val="00BC0B90"/>
    <w:rsid w:val="00BC0EC3"/>
    <w:rsid w:val="00BC2328"/>
    <w:rsid w:val="00BC2C8A"/>
    <w:rsid w:val="00BD2449"/>
    <w:rsid w:val="00BD56EE"/>
    <w:rsid w:val="00BD784A"/>
    <w:rsid w:val="00BE0876"/>
    <w:rsid w:val="00BE18FD"/>
    <w:rsid w:val="00BE2806"/>
    <w:rsid w:val="00BE337F"/>
    <w:rsid w:val="00BE3562"/>
    <w:rsid w:val="00BE606B"/>
    <w:rsid w:val="00BF45C6"/>
    <w:rsid w:val="00BF7393"/>
    <w:rsid w:val="00BF7F27"/>
    <w:rsid w:val="00C0200D"/>
    <w:rsid w:val="00C03FCF"/>
    <w:rsid w:val="00C046C4"/>
    <w:rsid w:val="00C13A98"/>
    <w:rsid w:val="00C14E0B"/>
    <w:rsid w:val="00C17ADC"/>
    <w:rsid w:val="00C225BB"/>
    <w:rsid w:val="00C33215"/>
    <w:rsid w:val="00C34786"/>
    <w:rsid w:val="00C350FB"/>
    <w:rsid w:val="00C36F30"/>
    <w:rsid w:val="00C40E8F"/>
    <w:rsid w:val="00C41E52"/>
    <w:rsid w:val="00C4293E"/>
    <w:rsid w:val="00C42C98"/>
    <w:rsid w:val="00C440B9"/>
    <w:rsid w:val="00C5048E"/>
    <w:rsid w:val="00C51C21"/>
    <w:rsid w:val="00C5431B"/>
    <w:rsid w:val="00C56768"/>
    <w:rsid w:val="00C6300E"/>
    <w:rsid w:val="00C64D0B"/>
    <w:rsid w:val="00C70379"/>
    <w:rsid w:val="00C71AB1"/>
    <w:rsid w:val="00C7287A"/>
    <w:rsid w:val="00C746AA"/>
    <w:rsid w:val="00C75606"/>
    <w:rsid w:val="00C77B2E"/>
    <w:rsid w:val="00C80305"/>
    <w:rsid w:val="00C80963"/>
    <w:rsid w:val="00C810FE"/>
    <w:rsid w:val="00C82583"/>
    <w:rsid w:val="00C82966"/>
    <w:rsid w:val="00C85278"/>
    <w:rsid w:val="00C858B5"/>
    <w:rsid w:val="00C86882"/>
    <w:rsid w:val="00C875ED"/>
    <w:rsid w:val="00C87E64"/>
    <w:rsid w:val="00C90492"/>
    <w:rsid w:val="00C95496"/>
    <w:rsid w:val="00C95BCB"/>
    <w:rsid w:val="00CA0758"/>
    <w:rsid w:val="00CA25EF"/>
    <w:rsid w:val="00CB1B62"/>
    <w:rsid w:val="00CB4BA2"/>
    <w:rsid w:val="00CB5636"/>
    <w:rsid w:val="00CC055B"/>
    <w:rsid w:val="00CC44DE"/>
    <w:rsid w:val="00CC78BB"/>
    <w:rsid w:val="00CD3E61"/>
    <w:rsid w:val="00CD74A5"/>
    <w:rsid w:val="00CE0DB5"/>
    <w:rsid w:val="00CE16E4"/>
    <w:rsid w:val="00CE3136"/>
    <w:rsid w:val="00CE6284"/>
    <w:rsid w:val="00CE7205"/>
    <w:rsid w:val="00CF369A"/>
    <w:rsid w:val="00D01FB6"/>
    <w:rsid w:val="00D05A32"/>
    <w:rsid w:val="00D06099"/>
    <w:rsid w:val="00D1479E"/>
    <w:rsid w:val="00D22FE3"/>
    <w:rsid w:val="00D23B54"/>
    <w:rsid w:val="00D24F14"/>
    <w:rsid w:val="00D328D6"/>
    <w:rsid w:val="00D32E5D"/>
    <w:rsid w:val="00D422EF"/>
    <w:rsid w:val="00D42BE7"/>
    <w:rsid w:val="00D44166"/>
    <w:rsid w:val="00D4686D"/>
    <w:rsid w:val="00D47A8A"/>
    <w:rsid w:val="00D47EAE"/>
    <w:rsid w:val="00D5161F"/>
    <w:rsid w:val="00D5238E"/>
    <w:rsid w:val="00D5544C"/>
    <w:rsid w:val="00D61C05"/>
    <w:rsid w:val="00D63C7F"/>
    <w:rsid w:val="00D66A01"/>
    <w:rsid w:val="00D6724B"/>
    <w:rsid w:val="00D672A3"/>
    <w:rsid w:val="00D67628"/>
    <w:rsid w:val="00D730DF"/>
    <w:rsid w:val="00D733A6"/>
    <w:rsid w:val="00D745BA"/>
    <w:rsid w:val="00D75A08"/>
    <w:rsid w:val="00D82E4B"/>
    <w:rsid w:val="00D85D3E"/>
    <w:rsid w:val="00D8735B"/>
    <w:rsid w:val="00D912ED"/>
    <w:rsid w:val="00D91848"/>
    <w:rsid w:val="00D91926"/>
    <w:rsid w:val="00D91B8C"/>
    <w:rsid w:val="00D956C0"/>
    <w:rsid w:val="00D96253"/>
    <w:rsid w:val="00DA086F"/>
    <w:rsid w:val="00DA1AAE"/>
    <w:rsid w:val="00DA7BFB"/>
    <w:rsid w:val="00DB3E6A"/>
    <w:rsid w:val="00DB42D2"/>
    <w:rsid w:val="00DB51D7"/>
    <w:rsid w:val="00DB6D3E"/>
    <w:rsid w:val="00DD00E5"/>
    <w:rsid w:val="00DD5D3D"/>
    <w:rsid w:val="00DE0126"/>
    <w:rsid w:val="00DE7077"/>
    <w:rsid w:val="00DF2717"/>
    <w:rsid w:val="00DF3760"/>
    <w:rsid w:val="00DF3CA6"/>
    <w:rsid w:val="00DF5AA6"/>
    <w:rsid w:val="00DF7235"/>
    <w:rsid w:val="00E01BA8"/>
    <w:rsid w:val="00E01EEE"/>
    <w:rsid w:val="00E03523"/>
    <w:rsid w:val="00E049E6"/>
    <w:rsid w:val="00E057D3"/>
    <w:rsid w:val="00E05A17"/>
    <w:rsid w:val="00E200EE"/>
    <w:rsid w:val="00E20FFD"/>
    <w:rsid w:val="00E24514"/>
    <w:rsid w:val="00E30894"/>
    <w:rsid w:val="00E37D4B"/>
    <w:rsid w:val="00E45122"/>
    <w:rsid w:val="00E463D0"/>
    <w:rsid w:val="00E51B5A"/>
    <w:rsid w:val="00E535AB"/>
    <w:rsid w:val="00E55F4C"/>
    <w:rsid w:val="00E5713E"/>
    <w:rsid w:val="00E6427B"/>
    <w:rsid w:val="00E66F1F"/>
    <w:rsid w:val="00E71B33"/>
    <w:rsid w:val="00E71EFF"/>
    <w:rsid w:val="00E73E15"/>
    <w:rsid w:val="00E74BE1"/>
    <w:rsid w:val="00E84419"/>
    <w:rsid w:val="00E85514"/>
    <w:rsid w:val="00E9302F"/>
    <w:rsid w:val="00EA035F"/>
    <w:rsid w:val="00EA1E5C"/>
    <w:rsid w:val="00EA267E"/>
    <w:rsid w:val="00EA28CA"/>
    <w:rsid w:val="00EA37FF"/>
    <w:rsid w:val="00EA5149"/>
    <w:rsid w:val="00EA6F6D"/>
    <w:rsid w:val="00EA770D"/>
    <w:rsid w:val="00EB2CF8"/>
    <w:rsid w:val="00EB3267"/>
    <w:rsid w:val="00EB4B0C"/>
    <w:rsid w:val="00EB4F0E"/>
    <w:rsid w:val="00EB6879"/>
    <w:rsid w:val="00EC03EF"/>
    <w:rsid w:val="00EC360B"/>
    <w:rsid w:val="00ED0ED6"/>
    <w:rsid w:val="00ED1AFA"/>
    <w:rsid w:val="00ED23E8"/>
    <w:rsid w:val="00ED3041"/>
    <w:rsid w:val="00ED4327"/>
    <w:rsid w:val="00ED4B2C"/>
    <w:rsid w:val="00ED54BB"/>
    <w:rsid w:val="00ED6D34"/>
    <w:rsid w:val="00ED73FB"/>
    <w:rsid w:val="00ED7B2C"/>
    <w:rsid w:val="00EE17CB"/>
    <w:rsid w:val="00EE1D93"/>
    <w:rsid w:val="00EE1F49"/>
    <w:rsid w:val="00EE43AA"/>
    <w:rsid w:val="00EE5E08"/>
    <w:rsid w:val="00EE7E4F"/>
    <w:rsid w:val="00EF10CB"/>
    <w:rsid w:val="00EF31FE"/>
    <w:rsid w:val="00EF3F78"/>
    <w:rsid w:val="00F0480E"/>
    <w:rsid w:val="00F06371"/>
    <w:rsid w:val="00F07239"/>
    <w:rsid w:val="00F073D6"/>
    <w:rsid w:val="00F10EAE"/>
    <w:rsid w:val="00F11727"/>
    <w:rsid w:val="00F1465E"/>
    <w:rsid w:val="00F16FF0"/>
    <w:rsid w:val="00F20F4D"/>
    <w:rsid w:val="00F2555D"/>
    <w:rsid w:val="00F25A98"/>
    <w:rsid w:val="00F26973"/>
    <w:rsid w:val="00F30230"/>
    <w:rsid w:val="00F32CC5"/>
    <w:rsid w:val="00F36804"/>
    <w:rsid w:val="00F37342"/>
    <w:rsid w:val="00F418E9"/>
    <w:rsid w:val="00F42AF5"/>
    <w:rsid w:val="00F43DC5"/>
    <w:rsid w:val="00F43EDC"/>
    <w:rsid w:val="00F4568D"/>
    <w:rsid w:val="00F6024F"/>
    <w:rsid w:val="00F629A5"/>
    <w:rsid w:val="00F64231"/>
    <w:rsid w:val="00F64770"/>
    <w:rsid w:val="00F65B3B"/>
    <w:rsid w:val="00F75803"/>
    <w:rsid w:val="00F761E5"/>
    <w:rsid w:val="00F81865"/>
    <w:rsid w:val="00F8239C"/>
    <w:rsid w:val="00F82605"/>
    <w:rsid w:val="00F834A5"/>
    <w:rsid w:val="00F8599F"/>
    <w:rsid w:val="00F8604A"/>
    <w:rsid w:val="00F950A9"/>
    <w:rsid w:val="00F960D8"/>
    <w:rsid w:val="00F97637"/>
    <w:rsid w:val="00FA1BAC"/>
    <w:rsid w:val="00FA3D4E"/>
    <w:rsid w:val="00FA53BD"/>
    <w:rsid w:val="00FA5604"/>
    <w:rsid w:val="00FA60D5"/>
    <w:rsid w:val="00FB0405"/>
    <w:rsid w:val="00FB2F92"/>
    <w:rsid w:val="00FB6492"/>
    <w:rsid w:val="00FB7213"/>
    <w:rsid w:val="00FD12D8"/>
    <w:rsid w:val="00FD5DCB"/>
    <w:rsid w:val="00FD6C55"/>
    <w:rsid w:val="00FE2063"/>
    <w:rsid w:val="00FE321A"/>
    <w:rsid w:val="00FE34F8"/>
    <w:rsid w:val="00FE6A90"/>
    <w:rsid w:val="00FE6AB5"/>
    <w:rsid w:val="00FF0B42"/>
    <w:rsid w:val="00FF281D"/>
    <w:rsid w:val="00FF45A4"/>
    <w:rsid w:val="00FF4923"/>
    <w:rsid w:val="00FF5D98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E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5F3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C2E61"/>
    <w:rPr>
      <w:color w:val="CA0000"/>
      <w:u w:val="single"/>
    </w:rPr>
  </w:style>
  <w:style w:type="character" w:customStyle="1" w:styleId="a8">
    <w:name w:val="Основной текст Знак"/>
    <w:basedOn w:val="a0"/>
    <w:link w:val="a9"/>
    <w:uiPriority w:val="99"/>
    <w:rsid w:val="00BE337F"/>
  </w:style>
  <w:style w:type="paragraph" w:styleId="a9">
    <w:name w:val="Body Text"/>
    <w:basedOn w:val="a"/>
    <w:link w:val="a8"/>
    <w:uiPriority w:val="99"/>
    <w:unhideWhenUsed/>
    <w:rsid w:val="00BE337F"/>
    <w:pPr>
      <w:spacing w:after="120"/>
    </w:pPr>
  </w:style>
  <w:style w:type="character" w:customStyle="1" w:styleId="aa">
    <w:name w:val="Верхний колонтитул Знак"/>
    <w:basedOn w:val="a0"/>
    <w:link w:val="ab"/>
    <w:uiPriority w:val="99"/>
    <w:rsid w:val="00BE337F"/>
  </w:style>
  <w:style w:type="paragraph" w:styleId="ab">
    <w:name w:val="header"/>
    <w:basedOn w:val="a"/>
    <w:link w:val="aa"/>
    <w:uiPriority w:val="99"/>
    <w:unhideWhenUsed/>
    <w:rsid w:val="00BE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d"/>
    <w:uiPriority w:val="99"/>
    <w:rsid w:val="00BE337F"/>
  </w:style>
  <w:style w:type="paragraph" w:styleId="ad">
    <w:name w:val="footer"/>
    <w:basedOn w:val="a"/>
    <w:link w:val="ac"/>
    <w:uiPriority w:val="99"/>
    <w:unhideWhenUsed/>
    <w:rsid w:val="00BE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F3B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6">
    <w:name w:val="s_16"/>
    <w:basedOn w:val="a"/>
    <w:rsid w:val="005F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65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2309C3"/>
  </w:style>
  <w:style w:type="paragraph" w:styleId="ae">
    <w:name w:val="Normal (Web)"/>
    <w:basedOn w:val="a"/>
    <w:uiPriority w:val="99"/>
    <w:unhideWhenUsed/>
    <w:rsid w:val="007E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E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5F3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C2E61"/>
    <w:rPr>
      <w:color w:val="CA0000"/>
      <w:u w:val="single"/>
    </w:rPr>
  </w:style>
  <w:style w:type="character" w:customStyle="1" w:styleId="a8">
    <w:name w:val="Основной текст Знак"/>
    <w:basedOn w:val="a0"/>
    <w:link w:val="a9"/>
    <w:uiPriority w:val="99"/>
    <w:rsid w:val="00BE337F"/>
  </w:style>
  <w:style w:type="paragraph" w:styleId="a9">
    <w:name w:val="Body Text"/>
    <w:basedOn w:val="a"/>
    <w:link w:val="a8"/>
    <w:uiPriority w:val="99"/>
    <w:unhideWhenUsed/>
    <w:rsid w:val="00BE337F"/>
    <w:pPr>
      <w:spacing w:after="120"/>
    </w:pPr>
  </w:style>
  <w:style w:type="character" w:customStyle="1" w:styleId="aa">
    <w:name w:val="Верхний колонтитул Знак"/>
    <w:basedOn w:val="a0"/>
    <w:link w:val="ab"/>
    <w:uiPriority w:val="99"/>
    <w:rsid w:val="00BE337F"/>
  </w:style>
  <w:style w:type="paragraph" w:styleId="ab">
    <w:name w:val="header"/>
    <w:basedOn w:val="a"/>
    <w:link w:val="aa"/>
    <w:uiPriority w:val="99"/>
    <w:unhideWhenUsed/>
    <w:rsid w:val="00BE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d"/>
    <w:uiPriority w:val="99"/>
    <w:rsid w:val="00BE337F"/>
  </w:style>
  <w:style w:type="paragraph" w:styleId="ad">
    <w:name w:val="footer"/>
    <w:basedOn w:val="a"/>
    <w:link w:val="ac"/>
    <w:uiPriority w:val="99"/>
    <w:unhideWhenUsed/>
    <w:rsid w:val="00BE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F3B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6">
    <w:name w:val="s_16"/>
    <w:basedOn w:val="a"/>
    <w:rsid w:val="005F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65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2309C3"/>
  </w:style>
  <w:style w:type="paragraph" w:styleId="ae">
    <w:name w:val="Normal (Web)"/>
    <w:basedOn w:val="a"/>
    <w:uiPriority w:val="99"/>
    <w:unhideWhenUsed/>
    <w:rsid w:val="007E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20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4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83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cuments\&#1050;&#1057;&#1050;%202020\&#1072;&#1085;&#1072;&#1083;&#1080;&#1079;%20&#1073;&#1102;&#1076;&#1078;&#1077;&#1090;&#1072;%202020\&#1075;&#1088;&#1072;&#1092;&#1080;&#1082;%20&#1087;&#1086;%20&#1074;&#1080;&#1076;&#1072;&#1084;%20&#1088;&#1072;&#1089;&#1093;&#1086;&#1076;&#1086;&#1074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75;&#1088;&#1072;&#1092;&#1080;&#1082;%20&#1087;&#1086;%20&#1074;&#1080;&#1076;&#1072;&#1084;%20&#1088;&#1072;&#1089;&#1093;&#1086;&#1076;&#1086;&#1074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Структура расходов</a:t>
            </a:r>
          </a:p>
        </c:rich>
      </c:tx>
      <c:layout>
        <c:manualLayout>
          <c:xMode val="edge"/>
          <c:yMode val="edge"/>
          <c:x val="0.29408477842003855"/>
          <c:y val="2.484471509654443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1962151008223585E-2"/>
          <c:y val="0.13890831097008619"/>
          <c:w val="0.4702374661702628"/>
          <c:h val="0.79553664145100789"/>
        </c:manualLayout>
      </c:layout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explosion val="1"/>
          </c:dPt>
          <c:dPt>
            <c:idx val="1"/>
            <c:bubble3D val="0"/>
            <c:explosion val="4"/>
          </c:dPt>
          <c:dPt>
            <c:idx val="2"/>
            <c:bubble3D val="0"/>
            <c:explosion val="2"/>
          </c:dPt>
          <c:dPt>
            <c:idx val="3"/>
            <c:bubble3D val="0"/>
            <c:explosion val="2"/>
          </c:dPt>
          <c:dPt>
            <c:idx val="4"/>
            <c:bubble3D val="0"/>
            <c:explosion val="1"/>
          </c:dPt>
          <c:dPt>
            <c:idx val="5"/>
            <c:bubble3D val="0"/>
            <c:explosion val="3"/>
          </c:dPt>
          <c:dPt>
            <c:idx val="6"/>
            <c:bubble3D val="0"/>
            <c:explosion val="1"/>
          </c:dPt>
          <c:dPt>
            <c:idx val="7"/>
            <c:bubble3D val="0"/>
            <c:explosion val="2"/>
          </c:dPt>
          <c:dPt>
            <c:idx val="9"/>
            <c:bubble3D val="0"/>
            <c:explosion val="1"/>
          </c:dPt>
          <c:dLbls>
            <c:dLbl>
              <c:idx val="0"/>
              <c:layout>
                <c:manualLayout>
                  <c:x val="-2.7870222869540152E-2"/>
                  <c:y val="0.1478736575594012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4320088601641558E-2"/>
                  <c:y val="-1.498442803683712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646260980383233E-2"/>
                  <c:y val="2.699727164598519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015065313367621"/>
                  <c:y val="-4.051144900116854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0723832931288246E-2"/>
                  <c:y val="-0.1971468355266818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156117913006539"/>
                  <c:y val="3.839280124923492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4.8650493832779569E-3"/>
                  <c:y val="-1.235801777864336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5.2314566170558158E-2"/>
                  <c:y val="7.18955626425908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1.1975937978850909E-2"/>
                  <c:y val="-9.373174141672694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delete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Лист1!$A$41:$J$41</c:f>
              <c:strCache>
                <c:ptCount val="10"/>
                <c:pt idx="0">
                  <c:v>Общегосударственные расходы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 </c:v>
                </c:pt>
                <c:pt idx="5">
                  <c:v>Культура, кинематография 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  <c:pt idx="9">
                  <c:v>Мунципальный долг</c:v>
                </c:pt>
              </c:strCache>
            </c:strRef>
          </c:cat>
          <c:val>
            <c:numRef>
              <c:f>Лист1!$A$42:$J$42</c:f>
              <c:numCache>
                <c:formatCode>General</c:formatCode>
                <c:ptCount val="10"/>
                <c:pt idx="0">
                  <c:v>192310.9</c:v>
                </c:pt>
                <c:pt idx="1">
                  <c:v>9109</c:v>
                </c:pt>
                <c:pt idx="2">
                  <c:v>48825.3</c:v>
                </c:pt>
                <c:pt idx="3">
                  <c:v>71636.5</c:v>
                </c:pt>
                <c:pt idx="4">
                  <c:v>294333.5</c:v>
                </c:pt>
                <c:pt idx="5">
                  <c:v>79925.3</c:v>
                </c:pt>
                <c:pt idx="6">
                  <c:v>5000</c:v>
                </c:pt>
                <c:pt idx="7">
                  <c:v>40067.9</c:v>
                </c:pt>
                <c:pt idx="8">
                  <c:v>2000</c:v>
                </c:pt>
                <c:pt idx="9">
                  <c:v>3500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330"/>
      </c:pieChart>
      <c:spPr>
        <a:noFill/>
        <a:effectLst>
          <a:glow rad="63500">
            <a:schemeClr val="tx1">
              <a:alpha val="40000"/>
            </a:schemeClr>
          </a:glow>
          <a:innerShdw blurRad="63500" dist="50800" dir="8100000">
            <a:prstClr val="black">
              <a:alpha val="50000"/>
            </a:prstClr>
          </a:innerShdw>
          <a:softEdge rad="901700"/>
        </a:effectLst>
        <a:scene3d>
          <a:camera prst="orthographicFront"/>
          <a:lightRig rig="threePt" dir="t"/>
        </a:scene3d>
      </c:spPr>
    </c:plotArea>
    <c:legend>
      <c:legendPos val="r"/>
      <c:layout>
        <c:manualLayout>
          <c:xMode val="edge"/>
          <c:yMode val="edge"/>
          <c:x val="0.61381699895321196"/>
          <c:y val="4.0313329061797347E-2"/>
          <c:w val="0.35171213128851364"/>
          <c:h val="0.92840203198213433"/>
        </c:manualLayout>
      </c:layout>
      <c:overlay val="0"/>
      <c:txPr>
        <a:bodyPr/>
        <a:lstStyle/>
        <a:p>
          <a:pPr>
            <a:defRPr sz="8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по видам расходов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7334072126435341"/>
          <c:y val="1.9735981484742524E-2"/>
        </c:manualLayout>
      </c:layout>
      <c:overlay val="0"/>
    </c:title>
    <c:autoTitleDeleted val="0"/>
    <c:view3D>
      <c:rotX val="30"/>
      <c:rotY val="3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36382012551295"/>
          <c:y val="0.26114299058761659"/>
          <c:w val="0.52111360180337318"/>
          <c:h val="0.6640407267932088"/>
        </c:manualLayout>
      </c:layout>
      <c:pie3DChart>
        <c:varyColors val="1"/>
        <c:ser>
          <c:idx val="0"/>
          <c:order val="0"/>
          <c:explosion val="20"/>
          <c:dPt>
            <c:idx val="0"/>
            <c:bubble3D val="0"/>
            <c:explosion val="11"/>
          </c:dPt>
          <c:dLbls>
            <c:dLbl>
              <c:idx val="0"/>
              <c:layout>
                <c:manualLayout>
                  <c:x val="1.0786709629931663E-2"/>
                  <c:y val="8.6750614466439002E-2"/>
                </c:manualLayout>
              </c:layout>
              <c:tx>
                <c:rich>
                  <a:bodyPr/>
                  <a:lstStyle/>
                  <a:p>
                    <a:pPr>
                      <a:defRPr sz="7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7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заработная плата</a:t>
                    </a:r>
                  </a:p>
                  <a:p>
                    <a:pPr>
                      <a:defRPr sz="7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7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315718,0</a:t>
                    </a:r>
                  </a:p>
                  <a:p>
                    <a:pPr>
                      <a:defRPr sz="7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7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42%</a:t>
                    </a:r>
                    <a:endParaRPr lang="ru-RU" b="1"/>
                  </a:p>
                </c:rich>
              </c:tx>
              <c:numFmt formatCode="General" sourceLinked="0"/>
              <c:spPr>
                <a:scene3d>
                  <a:camera prst="orthographicFront"/>
                  <a:lightRig rig="threePt" dir="t"/>
                </a:scene3d>
                <a:sp3d>
                  <a:bevelT h="12700"/>
                </a:sp3d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3.4197132811031358E-2"/>
                  <c:y val="1.2751119759467133E-2"/>
                </c:manualLayout>
              </c:layout>
              <c:tx>
                <c:rich>
                  <a:bodyPr anchor="t" anchorCtr="1"/>
                  <a:lstStyle/>
                  <a:p>
                    <a:pPr>
                      <a:defRPr sz="7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7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начисления на оплату труда
95274,2
13%</a:t>
                    </a:r>
                    <a:endParaRPr lang="ru-RU" b="1"/>
                  </a:p>
                </c:rich>
              </c:tx>
              <c:numFmt formatCode="General" sourceLinked="0"/>
              <c:spPr>
                <a:ln w="0" cmpd="sng"/>
                <a:effectLst>
                  <a:glow rad="127000">
                    <a:schemeClr val="bg1"/>
                  </a:glow>
                </a:effectLst>
                <a:scene3d>
                  <a:camera prst="orthographicFront"/>
                  <a:lightRig rig="threePt" dir="t"/>
                </a:scene3d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1.2764537831590709E-2"/>
                  <c:y val="-7.1457692305547235E-3"/>
                </c:manualLayout>
              </c:layout>
              <c:tx>
                <c:rich>
                  <a:bodyPr/>
                  <a:lstStyle/>
                  <a:p>
                    <a:r>
                      <a:rPr lang="ru-RU" sz="700" b="1"/>
                      <a:t>прочие выплаты персоналу, денежные вознаграждения 
2265,6
0%</a:t>
                    </a:r>
                    <a:endParaRPr lang="ru-RU" b="1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8.0238398462218717E-3"/>
                  <c:y val="-5.5232822407347608E-2"/>
                </c:manualLayout>
              </c:layout>
              <c:tx>
                <c:rich>
                  <a:bodyPr/>
                  <a:lstStyle/>
                  <a:p>
                    <a:r>
                      <a:rPr lang="ru-RU" sz="7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прочие расходы </a:t>
                    </a:r>
                  </a:p>
                  <a:p>
                    <a:r>
                      <a:rPr lang="ru-RU" sz="7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 закупки</a:t>
                    </a:r>
                  </a:p>
                  <a:p>
                    <a:r>
                      <a:rPr lang="ru-RU" sz="7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157298,2</a:t>
                    </a:r>
                  </a:p>
                  <a:p>
                    <a:r>
                      <a:rPr lang="ru-RU" sz="7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21%</a:t>
                    </a:r>
                    <a:endParaRPr lang="ru-RU" b="1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1.467319500009267E-3"/>
                  <c:y val="1.6188060472309553E-2"/>
                </c:manualLayout>
              </c:layout>
              <c:tx>
                <c:rich>
                  <a:bodyPr/>
                  <a:lstStyle/>
                  <a:p>
                    <a:r>
                      <a:rPr lang="ru-RU" sz="700" b="1"/>
                      <a:t>коммунальные </a:t>
                    </a:r>
                  </a:p>
                  <a:p>
                    <a:r>
                      <a:rPr lang="ru-RU" sz="700" b="1"/>
                      <a:t>расходы
157571,3
21%</a:t>
                    </a:r>
                    <a:endParaRPr lang="ru-RU" b="1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-0.13641272402809734"/>
                  <c:y val="-4.8823241694594427E-2"/>
                </c:manualLayout>
              </c:layout>
              <c:tx>
                <c:rich>
                  <a:bodyPr/>
                  <a:lstStyle/>
                  <a:p>
                    <a:r>
                      <a:rPr lang="ru-RU" sz="7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налоги, сборы, пошлины,взносы 
8213,0
1%</a:t>
                    </a:r>
                    <a:endParaRPr lang="ru-RU" b="1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-5.5625094324136121E-2"/>
                  <c:y val="-0.10628944813189375"/>
                </c:manualLayout>
              </c:layout>
              <c:tx>
                <c:rich>
                  <a:bodyPr/>
                  <a:lstStyle/>
                  <a:p>
                    <a:r>
                      <a:rPr lang="ru-RU" sz="700" b="1"/>
                      <a:t>штрафы, пени
1368,1
0%</a:t>
                    </a:r>
                    <a:endParaRPr lang="ru-RU" b="1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4.0458104197390959E-2"/>
                  <c:y val="-7.4473276635663097E-2"/>
                </c:manualLayout>
              </c:layout>
              <c:tx>
                <c:rich>
                  <a:bodyPr/>
                  <a:lstStyle/>
                  <a:p>
                    <a:r>
                      <a:rPr lang="ru-RU" sz="7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резервный фонд
500,0
0%</a:t>
                    </a:r>
                    <a:endParaRPr lang="ru-RU" b="1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 val="0.13384181213544549"/>
                  <c:y val="-4.6870390107411022E-2"/>
                </c:manualLayout>
              </c:layout>
              <c:tx>
                <c:rich>
                  <a:bodyPr/>
                  <a:lstStyle/>
                  <a:p>
                    <a:r>
                      <a:rPr lang="ru-RU" sz="7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доплаты </a:t>
                    </a:r>
                  </a:p>
                  <a:p>
                    <a:r>
                      <a:rPr lang="ru-RU" sz="7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 пенсиям
5000,0
1%</a:t>
                    </a:r>
                    <a:endParaRPr lang="ru-RU" b="1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layout>
                <c:manualLayout>
                  <c:x val="0.23055119053607881"/>
                  <c:y val="4.2305742437754423E-2"/>
                </c:manualLayout>
              </c:layout>
              <c:tx>
                <c:rich>
                  <a:bodyPr/>
                  <a:lstStyle/>
                  <a:p>
                    <a:r>
                      <a:rPr lang="ru-RU" sz="7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обслуживание</a:t>
                    </a:r>
                  </a:p>
                  <a:p>
                    <a:r>
                      <a:rPr lang="ru-RU" sz="7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муниципального долга 
3500,0
1%</a:t>
                    </a:r>
                    <a:endParaRPr lang="ru-RU" b="1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General" sourceLinked="0"/>
            <c:txPr>
              <a:bodyPr/>
              <a:lstStyle/>
              <a:p>
                <a:pPr>
                  <a:defRPr sz="7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Лист1!$A$1:$J$1</c:f>
              <c:strCache>
                <c:ptCount val="10"/>
                <c:pt idx="0">
                  <c:v>заработная плата</c:v>
                </c:pt>
                <c:pt idx="1">
                  <c:v>начисления на оплату труда</c:v>
                </c:pt>
                <c:pt idx="2">
                  <c:v>прочие выплаты персоналу, денежные вознаграждения </c:v>
                </c:pt>
                <c:pt idx="3">
                  <c:v>прочие расходы на закупки</c:v>
                </c:pt>
                <c:pt idx="4">
                  <c:v>коммунальные расходы</c:v>
                </c:pt>
                <c:pt idx="5">
                  <c:v>налоги, сборы, пошлины, взносы </c:v>
                </c:pt>
                <c:pt idx="6">
                  <c:v>штрафы, пени</c:v>
                </c:pt>
                <c:pt idx="7">
                  <c:v>резервный фонд</c:v>
                </c:pt>
                <c:pt idx="8">
                  <c:v>доплаты к пенсиям</c:v>
                </c:pt>
                <c:pt idx="9">
                  <c:v>муниципальный долг</c:v>
                </c:pt>
              </c:strCache>
            </c:strRef>
          </c:cat>
          <c:val>
            <c:numRef>
              <c:f>Лист1!$A$2:$J$2</c:f>
              <c:numCache>
                <c:formatCode>General</c:formatCode>
                <c:ptCount val="10"/>
                <c:pt idx="0">
                  <c:v>315718</c:v>
                </c:pt>
                <c:pt idx="1">
                  <c:v>95274.2</c:v>
                </c:pt>
                <c:pt idx="2">
                  <c:v>2265.6</c:v>
                </c:pt>
                <c:pt idx="3">
                  <c:v>157298.20000000001</c:v>
                </c:pt>
                <c:pt idx="4">
                  <c:v>157571.29999999999</c:v>
                </c:pt>
                <c:pt idx="5">
                  <c:v>8213</c:v>
                </c:pt>
                <c:pt idx="6">
                  <c:v>1368.1</c:v>
                </c:pt>
                <c:pt idx="7">
                  <c:v>500</c:v>
                </c:pt>
                <c:pt idx="8">
                  <c:v>5000</c:v>
                </c:pt>
                <c:pt idx="9">
                  <c:v>3500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603977575965698"/>
          <c:y val="5.1916932907348244E-2"/>
          <c:w val="0.21408542609511574"/>
          <c:h val="0.93534187819174364"/>
        </c:manualLayout>
      </c:layout>
      <c:overlay val="0"/>
      <c:txPr>
        <a:bodyPr/>
        <a:lstStyle/>
        <a:p>
          <a:pPr>
            <a:defRPr sz="8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9CD4-7680-4104-95B4-71507347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19164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Петров</dc:creator>
  <cp:keywords/>
  <dc:description/>
  <cp:lastModifiedBy>Algo</cp:lastModifiedBy>
  <cp:revision>3890</cp:revision>
  <cp:lastPrinted>2020-12-24T04:45:00Z</cp:lastPrinted>
  <dcterms:created xsi:type="dcterms:W3CDTF">2020-05-20T09:54:00Z</dcterms:created>
  <dcterms:modified xsi:type="dcterms:W3CDTF">2020-12-29T08:31:00Z</dcterms:modified>
</cp:coreProperties>
</file>